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6.xml" ContentType="application/vnd.openxmlformats-officedocument.customXmlProperties+xml"/>
  <Override PartName="/customXml/itemProps5.xml" ContentType="application/vnd.openxmlformats-officedocument.customXmlProperties+xml"/>
  <Override PartName="/customXml/itemProps4.xml" ContentType="application/vnd.openxmlformats-officedocument.customXmlProperties+xml"/>
  <Override PartName="/customXml/itemProps7.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hAnsiTheme="minorHAnsi" w:cstheme="minorHAnsi"/>
          <w:b w:val="0"/>
          <w:bCs w:val="0"/>
          <w:caps/>
          <w:smallCaps/>
          <w:color w:val="auto"/>
          <w:sz w:val="20"/>
          <w:szCs w:val="20"/>
          <w:lang w:eastAsia="pl-PL"/>
        </w:rPr>
        <w:id w:val="-1215034185"/>
        <w:docPartObj>
          <w:docPartGallery w:val="Table of Contents"/>
          <w:docPartUnique/>
        </w:docPartObj>
      </w:sdtPr>
      <w:sdtEndPr>
        <w:rPr>
          <w:caps w:val="0"/>
        </w:rPr>
      </w:sdtEndPr>
      <w:sdtContent>
        <w:p w14:paraId="3DE9C832" w14:textId="77777777" w:rsidR="004F1839" w:rsidRPr="005F6FAE" w:rsidRDefault="004F1839" w:rsidP="00157809">
          <w:pPr>
            <w:pStyle w:val="Nagwekspisutreci"/>
            <w:spacing w:before="0" w:line="240" w:lineRule="auto"/>
            <w:jc w:val="both"/>
            <w:rPr>
              <w:rFonts w:asciiTheme="minorHAnsi" w:hAnsiTheme="minorHAnsi" w:cstheme="minorHAnsi"/>
              <w:color w:val="auto"/>
              <w:sz w:val="24"/>
            </w:rPr>
          </w:pPr>
          <w:r w:rsidRPr="005F6FAE">
            <w:rPr>
              <w:rFonts w:asciiTheme="minorHAnsi" w:hAnsiTheme="minorHAnsi" w:cstheme="minorHAnsi"/>
              <w:color w:val="auto"/>
              <w:sz w:val="24"/>
            </w:rPr>
            <w:t>Spis treści</w:t>
          </w:r>
        </w:p>
        <w:p w14:paraId="2E14B51A" w14:textId="0DD6538F" w:rsidR="00543016" w:rsidRDefault="002B7295">
          <w:pPr>
            <w:pStyle w:val="Spistreci1"/>
            <w:tabs>
              <w:tab w:val="left" w:pos="1037"/>
            </w:tabs>
            <w:rPr>
              <w:rFonts w:eastAsiaTheme="minorEastAsia" w:cstheme="minorBidi"/>
              <w:b w:val="0"/>
              <w:bCs w:val="0"/>
              <w:caps w:val="0"/>
              <w:noProof/>
              <w:kern w:val="2"/>
              <w:sz w:val="22"/>
              <w:szCs w:val="22"/>
              <w14:ligatures w14:val="standardContextual"/>
            </w:rPr>
          </w:pPr>
          <w:r w:rsidRPr="005F6FAE">
            <w:rPr>
              <w:rFonts w:cstheme="minorHAnsi"/>
              <w:sz w:val="18"/>
            </w:rPr>
            <w:fldChar w:fldCharType="begin"/>
          </w:r>
          <w:r w:rsidR="004F1839" w:rsidRPr="005F6FAE">
            <w:rPr>
              <w:rFonts w:cstheme="minorHAnsi"/>
              <w:sz w:val="18"/>
            </w:rPr>
            <w:instrText xml:space="preserve"> TOC \o "1-3" \h \z \u </w:instrText>
          </w:r>
          <w:r w:rsidRPr="005F6FAE">
            <w:rPr>
              <w:rFonts w:cstheme="minorHAnsi"/>
              <w:sz w:val="18"/>
            </w:rPr>
            <w:fldChar w:fldCharType="separate"/>
          </w:r>
          <w:hyperlink w:anchor="_Toc216678503" w:history="1">
            <w:r w:rsidR="00543016" w:rsidRPr="00640B1F">
              <w:rPr>
                <w:rStyle w:val="Hipercze"/>
                <w:rFonts w:cstheme="minorHAnsi"/>
                <w:noProof/>
              </w:rPr>
              <w:t>1</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Określenie przedmiotu zamówienia</w:t>
            </w:r>
            <w:r w:rsidR="00543016">
              <w:rPr>
                <w:noProof/>
                <w:webHidden/>
              </w:rPr>
              <w:tab/>
            </w:r>
            <w:r w:rsidR="00543016">
              <w:rPr>
                <w:noProof/>
                <w:webHidden/>
              </w:rPr>
              <w:fldChar w:fldCharType="begin"/>
            </w:r>
            <w:r w:rsidR="00543016">
              <w:rPr>
                <w:noProof/>
                <w:webHidden/>
              </w:rPr>
              <w:instrText xml:space="preserve"> PAGEREF _Toc216678503 \h </w:instrText>
            </w:r>
            <w:r w:rsidR="00543016">
              <w:rPr>
                <w:noProof/>
                <w:webHidden/>
              </w:rPr>
            </w:r>
            <w:r w:rsidR="00543016">
              <w:rPr>
                <w:noProof/>
                <w:webHidden/>
              </w:rPr>
              <w:fldChar w:fldCharType="separate"/>
            </w:r>
            <w:r w:rsidR="00543016">
              <w:rPr>
                <w:noProof/>
                <w:webHidden/>
              </w:rPr>
              <w:t>4</w:t>
            </w:r>
            <w:r w:rsidR="00543016">
              <w:rPr>
                <w:noProof/>
                <w:webHidden/>
              </w:rPr>
              <w:fldChar w:fldCharType="end"/>
            </w:r>
          </w:hyperlink>
        </w:p>
        <w:p w14:paraId="6B747EA2" w14:textId="1E939A43"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04" w:history="1">
            <w:r w:rsidR="00543016" w:rsidRPr="00640B1F">
              <w:rPr>
                <w:rStyle w:val="Hipercze"/>
                <w:rFonts w:cstheme="minorHAnsi"/>
                <w:noProof/>
              </w:rPr>
              <w:t>2</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Zasady wykonywania dokumentacji projektowej</w:t>
            </w:r>
            <w:r w:rsidR="00543016">
              <w:rPr>
                <w:noProof/>
                <w:webHidden/>
              </w:rPr>
              <w:tab/>
            </w:r>
            <w:r w:rsidR="00543016">
              <w:rPr>
                <w:noProof/>
                <w:webHidden/>
              </w:rPr>
              <w:fldChar w:fldCharType="begin"/>
            </w:r>
            <w:r w:rsidR="00543016">
              <w:rPr>
                <w:noProof/>
                <w:webHidden/>
              </w:rPr>
              <w:instrText xml:space="preserve"> PAGEREF _Toc216678504 \h </w:instrText>
            </w:r>
            <w:r w:rsidR="00543016">
              <w:rPr>
                <w:noProof/>
                <w:webHidden/>
              </w:rPr>
            </w:r>
            <w:r w:rsidR="00543016">
              <w:rPr>
                <w:noProof/>
                <w:webHidden/>
              </w:rPr>
              <w:fldChar w:fldCharType="separate"/>
            </w:r>
            <w:r w:rsidR="00543016">
              <w:rPr>
                <w:noProof/>
                <w:webHidden/>
              </w:rPr>
              <w:t>4</w:t>
            </w:r>
            <w:r w:rsidR="00543016">
              <w:rPr>
                <w:noProof/>
                <w:webHidden/>
              </w:rPr>
              <w:fldChar w:fldCharType="end"/>
            </w:r>
          </w:hyperlink>
        </w:p>
        <w:p w14:paraId="6F2B0509" w14:textId="4C23616F"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05" w:history="1">
            <w:r w:rsidR="00543016" w:rsidRPr="00640B1F">
              <w:rPr>
                <w:rStyle w:val="Hipercze"/>
                <w:rFonts w:cstheme="minorHAnsi"/>
                <w:noProof/>
              </w:rPr>
              <w:t>3</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Obowiązki Wykonawcy przed złożeniem oferty</w:t>
            </w:r>
            <w:r w:rsidR="00543016">
              <w:rPr>
                <w:noProof/>
                <w:webHidden/>
              </w:rPr>
              <w:tab/>
            </w:r>
            <w:r w:rsidR="00543016">
              <w:rPr>
                <w:noProof/>
                <w:webHidden/>
              </w:rPr>
              <w:fldChar w:fldCharType="begin"/>
            </w:r>
            <w:r w:rsidR="00543016">
              <w:rPr>
                <w:noProof/>
                <w:webHidden/>
              </w:rPr>
              <w:instrText xml:space="preserve"> PAGEREF _Toc216678505 \h </w:instrText>
            </w:r>
            <w:r w:rsidR="00543016">
              <w:rPr>
                <w:noProof/>
                <w:webHidden/>
              </w:rPr>
            </w:r>
            <w:r w:rsidR="00543016">
              <w:rPr>
                <w:noProof/>
                <w:webHidden/>
              </w:rPr>
              <w:fldChar w:fldCharType="separate"/>
            </w:r>
            <w:r w:rsidR="00543016">
              <w:rPr>
                <w:noProof/>
                <w:webHidden/>
              </w:rPr>
              <w:t>4</w:t>
            </w:r>
            <w:r w:rsidR="00543016">
              <w:rPr>
                <w:noProof/>
                <w:webHidden/>
              </w:rPr>
              <w:fldChar w:fldCharType="end"/>
            </w:r>
          </w:hyperlink>
        </w:p>
        <w:p w14:paraId="606D1198" w14:textId="5C18B20F"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06" w:history="1">
            <w:r w:rsidR="00543016" w:rsidRPr="00640B1F">
              <w:rPr>
                <w:rStyle w:val="Hipercze"/>
                <w:rFonts w:cstheme="minorHAnsi"/>
                <w:noProof/>
              </w:rPr>
              <w:t>4</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Wymagania szczegółowe</w:t>
            </w:r>
            <w:r w:rsidR="00543016">
              <w:rPr>
                <w:noProof/>
                <w:webHidden/>
              </w:rPr>
              <w:tab/>
            </w:r>
            <w:r w:rsidR="00543016">
              <w:rPr>
                <w:noProof/>
                <w:webHidden/>
              </w:rPr>
              <w:fldChar w:fldCharType="begin"/>
            </w:r>
            <w:r w:rsidR="00543016">
              <w:rPr>
                <w:noProof/>
                <w:webHidden/>
              </w:rPr>
              <w:instrText xml:space="preserve"> PAGEREF _Toc216678506 \h </w:instrText>
            </w:r>
            <w:r w:rsidR="00543016">
              <w:rPr>
                <w:noProof/>
                <w:webHidden/>
              </w:rPr>
            </w:r>
            <w:r w:rsidR="00543016">
              <w:rPr>
                <w:noProof/>
                <w:webHidden/>
              </w:rPr>
              <w:fldChar w:fldCharType="separate"/>
            </w:r>
            <w:r w:rsidR="00543016">
              <w:rPr>
                <w:noProof/>
                <w:webHidden/>
              </w:rPr>
              <w:t>4</w:t>
            </w:r>
            <w:r w:rsidR="00543016">
              <w:rPr>
                <w:noProof/>
                <w:webHidden/>
              </w:rPr>
              <w:fldChar w:fldCharType="end"/>
            </w:r>
          </w:hyperlink>
        </w:p>
        <w:p w14:paraId="5348E0A4" w14:textId="63288509"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07" w:history="1">
            <w:r w:rsidR="00543016" w:rsidRPr="00640B1F">
              <w:rPr>
                <w:rStyle w:val="Hipercze"/>
                <w:rFonts w:cstheme="minorHAnsi"/>
                <w:noProof/>
              </w:rPr>
              <w:t>5</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Stan istniejący i lokalizacja</w:t>
            </w:r>
            <w:r w:rsidR="00543016">
              <w:rPr>
                <w:noProof/>
                <w:webHidden/>
              </w:rPr>
              <w:tab/>
            </w:r>
            <w:r w:rsidR="00543016">
              <w:rPr>
                <w:noProof/>
                <w:webHidden/>
              </w:rPr>
              <w:fldChar w:fldCharType="begin"/>
            </w:r>
            <w:r w:rsidR="00543016">
              <w:rPr>
                <w:noProof/>
                <w:webHidden/>
              </w:rPr>
              <w:instrText xml:space="preserve"> PAGEREF _Toc216678507 \h </w:instrText>
            </w:r>
            <w:r w:rsidR="00543016">
              <w:rPr>
                <w:noProof/>
                <w:webHidden/>
              </w:rPr>
            </w:r>
            <w:r w:rsidR="00543016">
              <w:rPr>
                <w:noProof/>
                <w:webHidden/>
              </w:rPr>
              <w:fldChar w:fldCharType="separate"/>
            </w:r>
            <w:r w:rsidR="00543016">
              <w:rPr>
                <w:noProof/>
                <w:webHidden/>
              </w:rPr>
              <w:t>4</w:t>
            </w:r>
            <w:r w:rsidR="00543016">
              <w:rPr>
                <w:noProof/>
                <w:webHidden/>
              </w:rPr>
              <w:fldChar w:fldCharType="end"/>
            </w:r>
          </w:hyperlink>
        </w:p>
        <w:p w14:paraId="2DDEC70D" w14:textId="406B830F"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08" w:history="1">
            <w:r w:rsidR="00543016" w:rsidRPr="00640B1F">
              <w:rPr>
                <w:rStyle w:val="Hipercze"/>
                <w:rFonts w:cstheme="minorHAnsi"/>
                <w:i/>
                <w:noProof/>
              </w:rPr>
              <w:t>5.1</w:t>
            </w:r>
            <w:r w:rsidR="00543016">
              <w:rPr>
                <w:rFonts w:eastAsiaTheme="minorEastAsia" w:cstheme="minorBidi"/>
                <w:smallCaps w:val="0"/>
                <w:noProof/>
                <w:kern w:val="2"/>
                <w:sz w:val="22"/>
                <w:szCs w:val="22"/>
                <w14:ligatures w14:val="standardContextual"/>
              </w:rPr>
              <w:tab/>
            </w:r>
            <w:r w:rsidR="00543016" w:rsidRPr="00640B1F">
              <w:rPr>
                <w:rStyle w:val="Hipercze"/>
                <w:rFonts w:cstheme="minorHAnsi"/>
                <w:i/>
                <w:noProof/>
              </w:rPr>
              <w:t>Stan własności gruntów</w:t>
            </w:r>
            <w:r w:rsidR="00543016">
              <w:rPr>
                <w:noProof/>
                <w:webHidden/>
              </w:rPr>
              <w:tab/>
            </w:r>
            <w:r w:rsidR="00543016">
              <w:rPr>
                <w:noProof/>
                <w:webHidden/>
              </w:rPr>
              <w:fldChar w:fldCharType="begin"/>
            </w:r>
            <w:r w:rsidR="00543016">
              <w:rPr>
                <w:noProof/>
                <w:webHidden/>
              </w:rPr>
              <w:instrText xml:space="preserve"> PAGEREF _Toc216678508 \h </w:instrText>
            </w:r>
            <w:r w:rsidR="00543016">
              <w:rPr>
                <w:noProof/>
                <w:webHidden/>
              </w:rPr>
            </w:r>
            <w:r w:rsidR="00543016">
              <w:rPr>
                <w:noProof/>
                <w:webHidden/>
              </w:rPr>
              <w:fldChar w:fldCharType="separate"/>
            </w:r>
            <w:r w:rsidR="00543016">
              <w:rPr>
                <w:noProof/>
                <w:webHidden/>
              </w:rPr>
              <w:t>5</w:t>
            </w:r>
            <w:r w:rsidR="00543016">
              <w:rPr>
                <w:noProof/>
                <w:webHidden/>
              </w:rPr>
              <w:fldChar w:fldCharType="end"/>
            </w:r>
          </w:hyperlink>
        </w:p>
        <w:p w14:paraId="5686FE89" w14:textId="557DF4F2"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09" w:history="1">
            <w:r w:rsidR="00543016" w:rsidRPr="00640B1F">
              <w:rPr>
                <w:rStyle w:val="Hipercze"/>
                <w:rFonts w:cstheme="minorHAnsi"/>
                <w:noProof/>
              </w:rPr>
              <w:t>6</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Stan projektowany</w:t>
            </w:r>
            <w:r w:rsidR="00543016">
              <w:rPr>
                <w:noProof/>
                <w:webHidden/>
              </w:rPr>
              <w:tab/>
            </w:r>
            <w:r w:rsidR="00543016">
              <w:rPr>
                <w:noProof/>
                <w:webHidden/>
              </w:rPr>
              <w:fldChar w:fldCharType="begin"/>
            </w:r>
            <w:r w:rsidR="00543016">
              <w:rPr>
                <w:noProof/>
                <w:webHidden/>
              </w:rPr>
              <w:instrText xml:space="preserve"> PAGEREF _Toc216678509 \h </w:instrText>
            </w:r>
            <w:r w:rsidR="00543016">
              <w:rPr>
                <w:noProof/>
                <w:webHidden/>
              </w:rPr>
            </w:r>
            <w:r w:rsidR="00543016">
              <w:rPr>
                <w:noProof/>
                <w:webHidden/>
              </w:rPr>
              <w:fldChar w:fldCharType="separate"/>
            </w:r>
            <w:r w:rsidR="00543016">
              <w:rPr>
                <w:noProof/>
                <w:webHidden/>
              </w:rPr>
              <w:t>5</w:t>
            </w:r>
            <w:r w:rsidR="00543016">
              <w:rPr>
                <w:noProof/>
                <w:webHidden/>
              </w:rPr>
              <w:fldChar w:fldCharType="end"/>
            </w:r>
          </w:hyperlink>
        </w:p>
        <w:p w14:paraId="13DFAC2F" w14:textId="2DF888A6"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10" w:history="1">
            <w:r w:rsidR="00543016" w:rsidRPr="00640B1F">
              <w:rPr>
                <w:rStyle w:val="Hipercze"/>
                <w:rFonts w:cstheme="minorHAnsi"/>
                <w:noProof/>
              </w:rPr>
              <w:t>7</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Wymagania w zakresie przygotowania dokumentacji projektowej</w:t>
            </w:r>
            <w:r w:rsidR="00543016">
              <w:rPr>
                <w:noProof/>
                <w:webHidden/>
              </w:rPr>
              <w:tab/>
            </w:r>
            <w:r w:rsidR="00543016">
              <w:rPr>
                <w:noProof/>
                <w:webHidden/>
              </w:rPr>
              <w:fldChar w:fldCharType="begin"/>
            </w:r>
            <w:r w:rsidR="00543016">
              <w:rPr>
                <w:noProof/>
                <w:webHidden/>
              </w:rPr>
              <w:instrText xml:space="preserve"> PAGEREF _Toc216678510 \h </w:instrText>
            </w:r>
            <w:r w:rsidR="00543016">
              <w:rPr>
                <w:noProof/>
                <w:webHidden/>
              </w:rPr>
            </w:r>
            <w:r w:rsidR="00543016">
              <w:rPr>
                <w:noProof/>
                <w:webHidden/>
              </w:rPr>
              <w:fldChar w:fldCharType="separate"/>
            </w:r>
            <w:r w:rsidR="00543016">
              <w:rPr>
                <w:noProof/>
                <w:webHidden/>
              </w:rPr>
              <w:t>6</w:t>
            </w:r>
            <w:r w:rsidR="00543016">
              <w:rPr>
                <w:noProof/>
                <w:webHidden/>
              </w:rPr>
              <w:fldChar w:fldCharType="end"/>
            </w:r>
          </w:hyperlink>
        </w:p>
        <w:p w14:paraId="06DD3575" w14:textId="5DC59F09"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1" w:history="1">
            <w:r w:rsidR="00543016" w:rsidRPr="00640B1F">
              <w:rPr>
                <w:rStyle w:val="Hipercze"/>
                <w:rFonts w:cstheme="minorHAnsi"/>
                <w:i/>
                <w:noProof/>
              </w:rPr>
              <w:t>7.1</w:t>
            </w:r>
            <w:r w:rsidR="00543016">
              <w:rPr>
                <w:rFonts w:eastAsiaTheme="minorEastAsia" w:cstheme="minorBidi"/>
                <w:smallCaps w:val="0"/>
                <w:noProof/>
                <w:kern w:val="2"/>
                <w:sz w:val="22"/>
                <w:szCs w:val="22"/>
                <w14:ligatures w14:val="standardContextual"/>
              </w:rPr>
              <w:tab/>
            </w:r>
            <w:r w:rsidR="00543016" w:rsidRPr="00640B1F">
              <w:rPr>
                <w:rStyle w:val="Hipercze"/>
                <w:rFonts w:cstheme="minorHAnsi"/>
                <w:i/>
                <w:noProof/>
              </w:rPr>
              <w:t>Wymagania ogólne</w:t>
            </w:r>
            <w:r w:rsidR="00543016">
              <w:rPr>
                <w:noProof/>
                <w:webHidden/>
              </w:rPr>
              <w:tab/>
            </w:r>
            <w:r w:rsidR="00543016">
              <w:rPr>
                <w:noProof/>
                <w:webHidden/>
              </w:rPr>
              <w:fldChar w:fldCharType="begin"/>
            </w:r>
            <w:r w:rsidR="00543016">
              <w:rPr>
                <w:noProof/>
                <w:webHidden/>
              </w:rPr>
              <w:instrText xml:space="preserve"> PAGEREF _Toc216678511 \h </w:instrText>
            </w:r>
            <w:r w:rsidR="00543016">
              <w:rPr>
                <w:noProof/>
                <w:webHidden/>
              </w:rPr>
            </w:r>
            <w:r w:rsidR="00543016">
              <w:rPr>
                <w:noProof/>
                <w:webHidden/>
              </w:rPr>
              <w:fldChar w:fldCharType="separate"/>
            </w:r>
            <w:r w:rsidR="00543016">
              <w:rPr>
                <w:noProof/>
                <w:webHidden/>
              </w:rPr>
              <w:t>6</w:t>
            </w:r>
            <w:r w:rsidR="00543016">
              <w:rPr>
                <w:noProof/>
                <w:webHidden/>
              </w:rPr>
              <w:fldChar w:fldCharType="end"/>
            </w:r>
          </w:hyperlink>
        </w:p>
        <w:p w14:paraId="6F588DB0" w14:textId="75463273"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2" w:history="1">
            <w:r w:rsidR="00543016" w:rsidRPr="00640B1F">
              <w:rPr>
                <w:rStyle w:val="Hipercze"/>
                <w:rFonts w:cstheme="minorHAnsi"/>
                <w:i/>
                <w:noProof/>
              </w:rPr>
              <w:t>7.2</w:t>
            </w:r>
            <w:r w:rsidR="00543016">
              <w:rPr>
                <w:rFonts w:eastAsiaTheme="minorEastAsia" w:cstheme="minorBidi"/>
                <w:smallCaps w:val="0"/>
                <w:noProof/>
                <w:kern w:val="2"/>
                <w:sz w:val="22"/>
                <w:szCs w:val="22"/>
                <w14:ligatures w14:val="standardContextual"/>
              </w:rPr>
              <w:tab/>
            </w:r>
            <w:r w:rsidR="00543016" w:rsidRPr="00640B1F">
              <w:rPr>
                <w:rStyle w:val="Hipercze"/>
                <w:rFonts w:cstheme="minorHAnsi"/>
                <w:i/>
                <w:noProof/>
              </w:rPr>
              <w:t>Zakres dokumentacji projektowej</w:t>
            </w:r>
            <w:r w:rsidR="00543016">
              <w:rPr>
                <w:noProof/>
                <w:webHidden/>
              </w:rPr>
              <w:tab/>
            </w:r>
            <w:r w:rsidR="00543016">
              <w:rPr>
                <w:noProof/>
                <w:webHidden/>
              </w:rPr>
              <w:fldChar w:fldCharType="begin"/>
            </w:r>
            <w:r w:rsidR="00543016">
              <w:rPr>
                <w:noProof/>
                <w:webHidden/>
              </w:rPr>
              <w:instrText xml:space="preserve"> PAGEREF _Toc216678512 \h </w:instrText>
            </w:r>
            <w:r w:rsidR="00543016">
              <w:rPr>
                <w:noProof/>
                <w:webHidden/>
              </w:rPr>
            </w:r>
            <w:r w:rsidR="00543016">
              <w:rPr>
                <w:noProof/>
                <w:webHidden/>
              </w:rPr>
              <w:fldChar w:fldCharType="separate"/>
            </w:r>
            <w:r w:rsidR="00543016">
              <w:rPr>
                <w:noProof/>
                <w:webHidden/>
              </w:rPr>
              <w:t>9</w:t>
            </w:r>
            <w:r w:rsidR="00543016">
              <w:rPr>
                <w:noProof/>
                <w:webHidden/>
              </w:rPr>
              <w:fldChar w:fldCharType="end"/>
            </w:r>
          </w:hyperlink>
        </w:p>
        <w:p w14:paraId="33407E04" w14:textId="19AE6DC9"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3" w:history="1">
            <w:r w:rsidR="00543016" w:rsidRPr="00640B1F">
              <w:rPr>
                <w:rStyle w:val="Hipercze"/>
                <w:rFonts w:cstheme="minorHAnsi"/>
                <w:i/>
                <w:noProof/>
              </w:rPr>
              <w:t>7.3</w:t>
            </w:r>
            <w:r w:rsidR="00543016">
              <w:rPr>
                <w:rFonts w:eastAsiaTheme="minorEastAsia" w:cstheme="minorBidi"/>
                <w:smallCaps w:val="0"/>
                <w:noProof/>
                <w:kern w:val="2"/>
                <w:sz w:val="22"/>
                <w:szCs w:val="22"/>
                <w14:ligatures w14:val="standardContextual"/>
              </w:rPr>
              <w:tab/>
            </w:r>
            <w:r w:rsidR="00543016" w:rsidRPr="00640B1F">
              <w:rPr>
                <w:rStyle w:val="Hipercze"/>
                <w:rFonts w:cstheme="minorHAnsi"/>
                <w:i/>
                <w:noProof/>
              </w:rPr>
              <w:t>Wymagania dotyczące nabywania praw do nieruchomości</w:t>
            </w:r>
            <w:r w:rsidR="00543016">
              <w:rPr>
                <w:noProof/>
                <w:webHidden/>
              </w:rPr>
              <w:tab/>
            </w:r>
            <w:r w:rsidR="00543016">
              <w:rPr>
                <w:noProof/>
                <w:webHidden/>
              </w:rPr>
              <w:fldChar w:fldCharType="begin"/>
            </w:r>
            <w:r w:rsidR="00543016">
              <w:rPr>
                <w:noProof/>
                <w:webHidden/>
              </w:rPr>
              <w:instrText xml:space="preserve"> PAGEREF _Toc216678513 \h </w:instrText>
            </w:r>
            <w:r w:rsidR="00543016">
              <w:rPr>
                <w:noProof/>
                <w:webHidden/>
              </w:rPr>
            </w:r>
            <w:r w:rsidR="00543016">
              <w:rPr>
                <w:noProof/>
                <w:webHidden/>
              </w:rPr>
              <w:fldChar w:fldCharType="separate"/>
            </w:r>
            <w:r w:rsidR="00543016">
              <w:rPr>
                <w:noProof/>
                <w:webHidden/>
              </w:rPr>
              <w:t>10</w:t>
            </w:r>
            <w:r w:rsidR="00543016">
              <w:rPr>
                <w:noProof/>
                <w:webHidden/>
              </w:rPr>
              <w:fldChar w:fldCharType="end"/>
            </w:r>
          </w:hyperlink>
        </w:p>
        <w:p w14:paraId="4C2F3AA4" w14:textId="4DF1C222"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4" w:history="1">
            <w:r w:rsidR="00543016" w:rsidRPr="00640B1F">
              <w:rPr>
                <w:rStyle w:val="Hipercze"/>
                <w:rFonts w:cstheme="minorHAnsi"/>
                <w:i/>
                <w:noProof/>
              </w:rPr>
              <w:t>7.4</w:t>
            </w:r>
            <w:r w:rsidR="00543016">
              <w:rPr>
                <w:rFonts w:eastAsiaTheme="minorEastAsia" w:cstheme="minorBidi"/>
                <w:smallCaps w:val="0"/>
                <w:noProof/>
                <w:kern w:val="2"/>
                <w:sz w:val="22"/>
                <w:szCs w:val="22"/>
                <w14:ligatures w14:val="standardContextual"/>
              </w:rPr>
              <w:tab/>
            </w:r>
            <w:r w:rsidR="00543016" w:rsidRPr="00640B1F">
              <w:rPr>
                <w:rStyle w:val="Hipercze"/>
                <w:rFonts w:cstheme="minorHAnsi"/>
                <w:i/>
                <w:noProof/>
              </w:rPr>
              <w:t>Forma dokumentacji projektowej i prawno – uzgodnieniowej</w:t>
            </w:r>
            <w:r w:rsidR="00543016">
              <w:rPr>
                <w:noProof/>
                <w:webHidden/>
              </w:rPr>
              <w:tab/>
            </w:r>
            <w:r w:rsidR="00543016">
              <w:rPr>
                <w:noProof/>
                <w:webHidden/>
              </w:rPr>
              <w:fldChar w:fldCharType="begin"/>
            </w:r>
            <w:r w:rsidR="00543016">
              <w:rPr>
                <w:noProof/>
                <w:webHidden/>
              </w:rPr>
              <w:instrText xml:space="preserve"> PAGEREF _Toc216678514 \h </w:instrText>
            </w:r>
            <w:r w:rsidR="00543016">
              <w:rPr>
                <w:noProof/>
                <w:webHidden/>
              </w:rPr>
            </w:r>
            <w:r w:rsidR="00543016">
              <w:rPr>
                <w:noProof/>
                <w:webHidden/>
              </w:rPr>
              <w:fldChar w:fldCharType="separate"/>
            </w:r>
            <w:r w:rsidR="00543016">
              <w:rPr>
                <w:noProof/>
                <w:webHidden/>
              </w:rPr>
              <w:t>11</w:t>
            </w:r>
            <w:r w:rsidR="00543016">
              <w:rPr>
                <w:noProof/>
                <w:webHidden/>
              </w:rPr>
              <w:fldChar w:fldCharType="end"/>
            </w:r>
          </w:hyperlink>
        </w:p>
        <w:p w14:paraId="4AE98197" w14:textId="474D70F6"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15" w:history="1">
            <w:r w:rsidR="00543016" w:rsidRPr="00640B1F">
              <w:rPr>
                <w:rStyle w:val="Hipercze"/>
                <w:rFonts w:cstheme="minorHAnsi"/>
                <w:noProof/>
              </w:rPr>
              <w:t>8</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Szczegółowe wymagania dla projektowanych materiałów i urządzeń.</w:t>
            </w:r>
            <w:r w:rsidR="00543016">
              <w:rPr>
                <w:noProof/>
                <w:webHidden/>
              </w:rPr>
              <w:tab/>
            </w:r>
            <w:r w:rsidR="00543016">
              <w:rPr>
                <w:noProof/>
                <w:webHidden/>
              </w:rPr>
              <w:fldChar w:fldCharType="begin"/>
            </w:r>
            <w:r w:rsidR="00543016">
              <w:rPr>
                <w:noProof/>
                <w:webHidden/>
              </w:rPr>
              <w:instrText xml:space="preserve"> PAGEREF _Toc216678515 \h </w:instrText>
            </w:r>
            <w:r w:rsidR="00543016">
              <w:rPr>
                <w:noProof/>
                <w:webHidden/>
              </w:rPr>
            </w:r>
            <w:r w:rsidR="00543016">
              <w:rPr>
                <w:noProof/>
                <w:webHidden/>
              </w:rPr>
              <w:fldChar w:fldCharType="separate"/>
            </w:r>
            <w:r w:rsidR="00543016">
              <w:rPr>
                <w:noProof/>
                <w:webHidden/>
              </w:rPr>
              <w:t>12</w:t>
            </w:r>
            <w:r w:rsidR="00543016">
              <w:rPr>
                <w:noProof/>
                <w:webHidden/>
              </w:rPr>
              <w:fldChar w:fldCharType="end"/>
            </w:r>
          </w:hyperlink>
        </w:p>
        <w:p w14:paraId="7B1D59CA" w14:textId="74E2A87E"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6" w:history="1">
            <w:r w:rsidR="00543016" w:rsidRPr="00640B1F">
              <w:rPr>
                <w:rStyle w:val="Hipercze"/>
                <w:noProof/>
              </w:rPr>
              <w:t>8.1</w:t>
            </w:r>
            <w:r w:rsidR="00543016">
              <w:rPr>
                <w:rFonts w:eastAsiaTheme="minorEastAsia" w:cstheme="minorBidi"/>
                <w:smallCaps w:val="0"/>
                <w:noProof/>
                <w:kern w:val="2"/>
                <w:sz w:val="22"/>
                <w:szCs w:val="22"/>
                <w14:ligatures w14:val="standardContextual"/>
              </w:rPr>
              <w:tab/>
            </w:r>
            <w:r w:rsidR="00543016" w:rsidRPr="00640B1F">
              <w:rPr>
                <w:rStyle w:val="Hipercze"/>
                <w:noProof/>
              </w:rPr>
              <w:t>Rozdzielnia 110kV</w:t>
            </w:r>
            <w:r w:rsidR="00543016">
              <w:rPr>
                <w:noProof/>
                <w:webHidden/>
              </w:rPr>
              <w:tab/>
            </w:r>
            <w:r w:rsidR="00543016">
              <w:rPr>
                <w:noProof/>
                <w:webHidden/>
              </w:rPr>
              <w:fldChar w:fldCharType="begin"/>
            </w:r>
            <w:r w:rsidR="00543016">
              <w:rPr>
                <w:noProof/>
                <w:webHidden/>
              </w:rPr>
              <w:instrText xml:space="preserve"> PAGEREF _Toc216678516 \h </w:instrText>
            </w:r>
            <w:r w:rsidR="00543016">
              <w:rPr>
                <w:noProof/>
                <w:webHidden/>
              </w:rPr>
            </w:r>
            <w:r w:rsidR="00543016">
              <w:rPr>
                <w:noProof/>
                <w:webHidden/>
              </w:rPr>
              <w:fldChar w:fldCharType="separate"/>
            </w:r>
            <w:r w:rsidR="00543016">
              <w:rPr>
                <w:noProof/>
                <w:webHidden/>
              </w:rPr>
              <w:t>12</w:t>
            </w:r>
            <w:r w:rsidR="00543016">
              <w:rPr>
                <w:noProof/>
                <w:webHidden/>
              </w:rPr>
              <w:fldChar w:fldCharType="end"/>
            </w:r>
          </w:hyperlink>
        </w:p>
        <w:p w14:paraId="300A95B7" w14:textId="6BDECF3F"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7" w:history="1">
            <w:r w:rsidR="00543016" w:rsidRPr="00640B1F">
              <w:rPr>
                <w:rStyle w:val="Hipercze"/>
                <w:noProof/>
              </w:rPr>
              <w:t>8.2</w:t>
            </w:r>
            <w:r w:rsidR="00543016">
              <w:rPr>
                <w:rFonts w:eastAsiaTheme="minorEastAsia" w:cstheme="minorBidi"/>
                <w:smallCaps w:val="0"/>
                <w:noProof/>
                <w:kern w:val="2"/>
                <w:sz w:val="22"/>
                <w:szCs w:val="22"/>
                <w14:ligatures w14:val="standardContextual"/>
              </w:rPr>
              <w:tab/>
            </w:r>
            <w:r w:rsidR="00543016" w:rsidRPr="00640B1F">
              <w:rPr>
                <w:rStyle w:val="Hipercze"/>
                <w:noProof/>
              </w:rPr>
              <w:t>Nastawnia</w:t>
            </w:r>
            <w:r w:rsidR="00543016">
              <w:rPr>
                <w:noProof/>
                <w:webHidden/>
              </w:rPr>
              <w:tab/>
            </w:r>
            <w:r w:rsidR="00543016">
              <w:rPr>
                <w:noProof/>
                <w:webHidden/>
              </w:rPr>
              <w:fldChar w:fldCharType="begin"/>
            </w:r>
            <w:r w:rsidR="00543016">
              <w:rPr>
                <w:noProof/>
                <w:webHidden/>
              </w:rPr>
              <w:instrText xml:space="preserve"> PAGEREF _Toc216678517 \h </w:instrText>
            </w:r>
            <w:r w:rsidR="00543016">
              <w:rPr>
                <w:noProof/>
                <w:webHidden/>
              </w:rPr>
            </w:r>
            <w:r w:rsidR="00543016">
              <w:rPr>
                <w:noProof/>
                <w:webHidden/>
              </w:rPr>
              <w:fldChar w:fldCharType="separate"/>
            </w:r>
            <w:r w:rsidR="00543016">
              <w:rPr>
                <w:noProof/>
                <w:webHidden/>
              </w:rPr>
              <w:t>13</w:t>
            </w:r>
            <w:r w:rsidR="00543016">
              <w:rPr>
                <w:noProof/>
                <w:webHidden/>
              </w:rPr>
              <w:fldChar w:fldCharType="end"/>
            </w:r>
          </w:hyperlink>
        </w:p>
        <w:p w14:paraId="211E66B9" w14:textId="4DB7B492"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8" w:history="1">
            <w:r w:rsidR="00543016" w:rsidRPr="00640B1F">
              <w:rPr>
                <w:rStyle w:val="Hipercze"/>
                <w:noProof/>
              </w:rPr>
              <w:t>8.3</w:t>
            </w:r>
            <w:r w:rsidR="00543016">
              <w:rPr>
                <w:rFonts w:eastAsiaTheme="minorEastAsia" w:cstheme="minorBidi"/>
                <w:smallCaps w:val="0"/>
                <w:noProof/>
                <w:kern w:val="2"/>
                <w:sz w:val="22"/>
                <w:szCs w:val="22"/>
                <w14:ligatures w14:val="standardContextual"/>
              </w:rPr>
              <w:tab/>
            </w:r>
            <w:r w:rsidR="00543016" w:rsidRPr="00640B1F">
              <w:rPr>
                <w:rStyle w:val="Hipercze"/>
                <w:noProof/>
              </w:rPr>
              <w:t>Zabezpieczenia i automatyki</w:t>
            </w:r>
            <w:r w:rsidR="00543016">
              <w:rPr>
                <w:noProof/>
                <w:webHidden/>
              </w:rPr>
              <w:tab/>
            </w:r>
            <w:r w:rsidR="00543016">
              <w:rPr>
                <w:noProof/>
                <w:webHidden/>
              </w:rPr>
              <w:fldChar w:fldCharType="begin"/>
            </w:r>
            <w:r w:rsidR="00543016">
              <w:rPr>
                <w:noProof/>
                <w:webHidden/>
              </w:rPr>
              <w:instrText xml:space="preserve"> PAGEREF _Toc216678518 \h </w:instrText>
            </w:r>
            <w:r w:rsidR="00543016">
              <w:rPr>
                <w:noProof/>
                <w:webHidden/>
              </w:rPr>
            </w:r>
            <w:r w:rsidR="00543016">
              <w:rPr>
                <w:noProof/>
                <w:webHidden/>
              </w:rPr>
              <w:fldChar w:fldCharType="separate"/>
            </w:r>
            <w:r w:rsidR="00543016">
              <w:rPr>
                <w:noProof/>
                <w:webHidden/>
              </w:rPr>
              <w:t>13</w:t>
            </w:r>
            <w:r w:rsidR="00543016">
              <w:rPr>
                <w:noProof/>
                <w:webHidden/>
              </w:rPr>
              <w:fldChar w:fldCharType="end"/>
            </w:r>
          </w:hyperlink>
        </w:p>
        <w:p w14:paraId="2657877F" w14:textId="545D7D6B"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19" w:history="1">
            <w:r w:rsidR="00543016" w:rsidRPr="00640B1F">
              <w:rPr>
                <w:rStyle w:val="Hipercze"/>
                <w:noProof/>
              </w:rPr>
              <w:t>8.4</w:t>
            </w:r>
            <w:r w:rsidR="00543016">
              <w:rPr>
                <w:rFonts w:eastAsiaTheme="minorEastAsia" w:cstheme="minorBidi"/>
                <w:smallCaps w:val="0"/>
                <w:noProof/>
                <w:kern w:val="2"/>
                <w:sz w:val="22"/>
                <w:szCs w:val="22"/>
                <w14:ligatures w14:val="standardContextual"/>
              </w:rPr>
              <w:tab/>
            </w:r>
            <w:r w:rsidR="00543016" w:rsidRPr="00640B1F">
              <w:rPr>
                <w:rStyle w:val="Hipercze"/>
                <w:noProof/>
              </w:rPr>
              <w:t>Sterowania i blokady</w:t>
            </w:r>
            <w:r w:rsidR="00543016">
              <w:rPr>
                <w:noProof/>
                <w:webHidden/>
              </w:rPr>
              <w:tab/>
            </w:r>
            <w:r w:rsidR="00543016">
              <w:rPr>
                <w:noProof/>
                <w:webHidden/>
              </w:rPr>
              <w:fldChar w:fldCharType="begin"/>
            </w:r>
            <w:r w:rsidR="00543016">
              <w:rPr>
                <w:noProof/>
                <w:webHidden/>
              </w:rPr>
              <w:instrText xml:space="preserve"> PAGEREF _Toc216678519 \h </w:instrText>
            </w:r>
            <w:r w:rsidR="00543016">
              <w:rPr>
                <w:noProof/>
                <w:webHidden/>
              </w:rPr>
            </w:r>
            <w:r w:rsidR="00543016">
              <w:rPr>
                <w:noProof/>
                <w:webHidden/>
              </w:rPr>
              <w:fldChar w:fldCharType="separate"/>
            </w:r>
            <w:r w:rsidR="00543016">
              <w:rPr>
                <w:noProof/>
                <w:webHidden/>
              </w:rPr>
              <w:t>20</w:t>
            </w:r>
            <w:r w:rsidR="00543016">
              <w:rPr>
                <w:noProof/>
                <w:webHidden/>
              </w:rPr>
              <w:fldChar w:fldCharType="end"/>
            </w:r>
          </w:hyperlink>
        </w:p>
        <w:p w14:paraId="06F5E723" w14:textId="23EF981B"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0" w:history="1">
            <w:r w:rsidR="00543016" w:rsidRPr="00640B1F">
              <w:rPr>
                <w:rStyle w:val="Hipercze"/>
                <w:noProof/>
              </w:rPr>
              <w:t>8.5</w:t>
            </w:r>
            <w:r w:rsidR="00543016">
              <w:rPr>
                <w:rFonts w:eastAsiaTheme="minorEastAsia" w:cstheme="minorBidi"/>
                <w:smallCaps w:val="0"/>
                <w:noProof/>
                <w:kern w:val="2"/>
                <w:sz w:val="22"/>
                <w:szCs w:val="22"/>
                <w14:ligatures w14:val="standardContextual"/>
              </w:rPr>
              <w:tab/>
            </w:r>
            <w:r w:rsidR="00543016" w:rsidRPr="00640B1F">
              <w:rPr>
                <w:rStyle w:val="Hipercze"/>
                <w:noProof/>
              </w:rPr>
              <w:t>Kanały kablowe i szafki kablowe</w:t>
            </w:r>
            <w:r w:rsidR="00543016">
              <w:rPr>
                <w:noProof/>
                <w:webHidden/>
              </w:rPr>
              <w:tab/>
            </w:r>
            <w:r w:rsidR="00543016">
              <w:rPr>
                <w:noProof/>
                <w:webHidden/>
              </w:rPr>
              <w:fldChar w:fldCharType="begin"/>
            </w:r>
            <w:r w:rsidR="00543016">
              <w:rPr>
                <w:noProof/>
                <w:webHidden/>
              </w:rPr>
              <w:instrText xml:space="preserve"> PAGEREF _Toc216678520 \h </w:instrText>
            </w:r>
            <w:r w:rsidR="00543016">
              <w:rPr>
                <w:noProof/>
                <w:webHidden/>
              </w:rPr>
            </w:r>
            <w:r w:rsidR="00543016">
              <w:rPr>
                <w:noProof/>
                <w:webHidden/>
              </w:rPr>
              <w:fldChar w:fldCharType="separate"/>
            </w:r>
            <w:r w:rsidR="00543016">
              <w:rPr>
                <w:noProof/>
                <w:webHidden/>
              </w:rPr>
              <w:t>20</w:t>
            </w:r>
            <w:r w:rsidR="00543016">
              <w:rPr>
                <w:noProof/>
                <w:webHidden/>
              </w:rPr>
              <w:fldChar w:fldCharType="end"/>
            </w:r>
          </w:hyperlink>
        </w:p>
        <w:p w14:paraId="22B0CE95" w14:textId="5F5AA5CA"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1" w:history="1">
            <w:r w:rsidR="00543016" w:rsidRPr="00640B1F">
              <w:rPr>
                <w:rStyle w:val="Hipercze"/>
                <w:noProof/>
              </w:rPr>
              <w:t>8.6</w:t>
            </w:r>
            <w:r w:rsidR="00543016">
              <w:rPr>
                <w:rFonts w:eastAsiaTheme="minorEastAsia" w:cstheme="minorBidi"/>
                <w:smallCaps w:val="0"/>
                <w:noProof/>
                <w:kern w:val="2"/>
                <w:sz w:val="22"/>
                <w:szCs w:val="22"/>
                <w14:ligatures w14:val="standardContextual"/>
              </w:rPr>
              <w:tab/>
            </w:r>
            <w:r w:rsidR="00543016" w:rsidRPr="00640B1F">
              <w:rPr>
                <w:rStyle w:val="Hipercze"/>
                <w:noProof/>
              </w:rPr>
              <w:t>Telemechanika</w:t>
            </w:r>
            <w:r w:rsidR="00543016">
              <w:rPr>
                <w:noProof/>
                <w:webHidden/>
              </w:rPr>
              <w:tab/>
            </w:r>
            <w:r w:rsidR="00543016">
              <w:rPr>
                <w:noProof/>
                <w:webHidden/>
              </w:rPr>
              <w:fldChar w:fldCharType="begin"/>
            </w:r>
            <w:r w:rsidR="00543016">
              <w:rPr>
                <w:noProof/>
                <w:webHidden/>
              </w:rPr>
              <w:instrText xml:space="preserve"> PAGEREF _Toc216678521 \h </w:instrText>
            </w:r>
            <w:r w:rsidR="00543016">
              <w:rPr>
                <w:noProof/>
                <w:webHidden/>
              </w:rPr>
            </w:r>
            <w:r w:rsidR="00543016">
              <w:rPr>
                <w:noProof/>
                <w:webHidden/>
              </w:rPr>
              <w:fldChar w:fldCharType="separate"/>
            </w:r>
            <w:r w:rsidR="00543016">
              <w:rPr>
                <w:noProof/>
                <w:webHidden/>
              </w:rPr>
              <w:t>21</w:t>
            </w:r>
            <w:r w:rsidR="00543016">
              <w:rPr>
                <w:noProof/>
                <w:webHidden/>
              </w:rPr>
              <w:fldChar w:fldCharType="end"/>
            </w:r>
          </w:hyperlink>
        </w:p>
        <w:p w14:paraId="73F1EBB0" w14:textId="450C1D72"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2" w:history="1">
            <w:r w:rsidR="00543016" w:rsidRPr="00640B1F">
              <w:rPr>
                <w:rStyle w:val="Hipercze"/>
                <w:noProof/>
              </w:rPr>
              <w:t>8.7</w:t>
            </w:r>
            <w:r w:rsidR="00543016">
              <w:rPr>
                <w:rFonts w:eastAsiaTheme="minorEastAsia" w:cstheme="minorBidi"/>
                <w:smallCaps w:val="0"/>
                <w:noProof/>
                <w:kern w:val="2"/>
                <w:sz w:val="22"/>
                <w:szCs w:val="22"/>
                <w14:ligatures w14:val="standardContextual"/>
              </w:rPr>
              <w:tab/>
            </w:r>
            <w:r w:rsidR="00543016" w:rsidRPr="00640B1F">
              <w:rPr>
                <w:rStyle w:val="Hipercze"/>
                <w:noProof/>
              </w:rPr>
              <w:t>Potrzeby własne 230VAC i 220VDC, baterie akumulatorów</w:t>
            </w:r>
            <w:r w:rsidR="00543016">
              <w:rPr>
                <w:noProof/>
                <w:webHidden/>
              </w:rPr>
              <w:tab/>
            </w:r>
            <w:r w:rsidR="00543016">
              <w:rPr>
                <w:noProof/>
                <w:webHidden/>
              </w:rPr>
              <w:fldChar w:fldCharType="begin"/>
            </w:r>
            <w:r w:rsidR="00543016">
              <w:rPr>
                <w:noProof/>
                <w:webHidden/>
              </w:rPr>
              <w:instrText xml:space="preserve"> PAGEREF _Toc216678522 \h </w:instrText>
            </w:r>
            <w:r w:rsidR="00543016">
              <w:rPr>
                <w:noProof/>
                <w:webHidden/>
              </w:rPr>
            </w:r>
            <w:r w:rsidR="00543016">
              <w:rPr>
                <w:noProof/>
                <w:webHidden/>
              </w:rPr>
              <w:fldChar w:fldCharType="separate"/>
            </w:r>
            <w:r w:rsidR="00543016">
              <w:rPr>
                <w:noProof/>
                <w:webHidden/>
              </w:rPr>
              <w:t>22</w:t>
            </w:r>
            <w:r w:rsidR="00543016">
              <w:rPr>
                <w:noProof/>
                <w:webHidden/>
              </w:rPr>
              <w:fldChar w:fldCharType="end"/>
            </w:r>
          </w:hyperlink>
        </w:p>
        <w:p w14:paraId="22EBBCAB" w14:textId="516BC9FD"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3" w:history="1">
            <w:r w:rsidR="00543016" w:rsidRPr="00640B1F">
              <w:rPr>
                <w:rStyle w:val="Hipercze"/>
                <w:noProof/>
              </w:rPr>
              <w:t>8.8</w:t>
            </w:r>
            <w:r w:rsidR="00543016">
              <w:rPr>
                <w:rFonts w:eastAsiaTheme="minorEastAsia" w:cstheme="minorBidi"/>
                <w:smallCaps w:val="0"/>
                <w:noProof/>
                <w:kern w:val="2"/>
                <w:sz w:val="22"/>
                <w:szCs w:val="22"/>
                <w14:ligatures w14:val="standardContextual"/>
              </w:rPr>
              <w:tab/>
            </w:r>
            <w:r w:rsidR="00543016" w:rsidRPr="00640B1F">
              <w:rPr>
                <w:rStyle w:val="Hipercze"/>
                <w:noProof/>
              </w:rPr>
              <w:t>Łączność</w:t>
            </w:r>
            <w:r w:rsidR="00543016">
              <w:rPr>
                <w:noProof/>
                <w:webHidden/>
              </w:rPr>
              <w:tab/>
            </w:r>
            <w:r w:rsidR="00543016">
              <w:rPr>
                <w:noProof/>
                <w:webHidden/>
              </w:rPr>
              <w:fldChar w:fldCharType="begin"/>
            </w:r>
            <w:r w:rsidR="00543016">
              <w:rPr>
                <w:noProof/>
                <w:webHidden/>
              </w:rPr>
              <w:instrText xml:space="preserve"> PAGEREF _Toc216678523 \h </w:instrText>
            </w:r>
            <w:r w:rsidR="00543016">
              <w:rPr>
                <w:noProof/>
                <w:webHidden/>
              </w:rPr>
            </w:r>
            <w:r w:rsidR="00543016">
              <w:rPr>
                <w:noProof/>
                <w:webHidden/>
              </w:rPr>
              <w:fldChar w:fldCharType="separate"/>
            </w:r>
            <w:r w:rsidR="00543016">
              <w:rPr>
                <w:noProof/>
                <w:webHidden/>
              </w:rPr>
              <w:t>26</w:t>
            </w:r>
            <w:r w:rsidR="00543016">
              <w:rPr>
                <w:noProof/>
                <w:webHidden/>
              </w:rPr>
              <w:fldChar w:fldCharType="end"/>
            </w:r>
          </w:hyperlink>
        </w:p>
        <w:p w14:paraId="48B1BE2B" w14:textId="6254C77E"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4" w:history="1">
            <w:r w:rsidR="00543016" w:rsidRPr="00640B1F">
              <w:rPr>
                <w:rStyle w:val="Hipercze"/>
                <w:noProof/>
              </w:rPr>
              <w:t>8.9</w:t>
            </w:r>
            <w:r w:rsidR="00543016">
              <w:rPr>
                <w:rFonts w:eastAsiaTheme="minorEastAsia" w:cstheme="minorBidi"/>
                <w:smallCaps w:val="0"/>
                <w:noProof/>
                <w:kern w:val="2"/>
                <w:sz w:val="22"/>
                <w:szCs w:val="22"/>
                <w14:ligatures w14:val="standardContextual"/>
              </w:rPr>
              <w:tab/>
            </w:r>
            <w:r w:rsidR="00543016" w:rsidRPr="00640B1F">
              <w:rPr>
                <w:rStyle w:val="Hipercze"/>
                <w:noProof/>
              </w:rPr>
              <w:t>Pomiar energii elektrycznej</w:t>
            </w:r>
            <w:r w:rsidR="00543016">
              <w:rPr>
                <w:noProof/>
                <w:webHidden/>
              </w:rPr>
              <w:tab/>
            </w:r>
            <w:r w:rsidR="00543016">
              <w:rPr>
                <w:noProof/>
                <w:webHidden/>
              </w:rPr>
              <w:fldChar w:fldCharType="begin"/>
            </w:r>
            <w:r w:rsidR="00543016">
              <w:rPr>
                <w:noProof/>
                <w:webHidden/>
              </w:rPr>
              <w:instrText xml:space="preserve"> PAGEREF _Toc216678524 \h </w:instrText>
            </w:r>
            <w:r w:rsidR="00543016">
              <w:rPr>
                <w:noProof/>
                <w:webHidden/>
              </w:rPr>
            </w:r>
            <w:r w:rsidR="00543016">
              <w:rPr>
                <w:noProof/>
                <w:webHidden/>
              </w:rPr>
              <w:fldChar w:fldCharType="separate"/>
            </w:r>
            <w:r w:rsidR="00543016">
              <w:rPr>
                <w:noProof/>
                <w:webHidden/>
              </w:rPr>
              <w:t>31</w:t>
            </w:r>
            <w:r w:rsidR="00543016">
              <w:rPr>
                <w:noProof/>
                <w:webHidden/>
              </w:rPr>
              <w:fldChar w:fldCharType="end"/>
            </w:r>
          </w:hyperlink>
        </w:p>
        <w:p w14:paraId="65D94D7D" w14:textId="2D132C91"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5" w:history="1">
            <w:r w:rsidR="00543016" w:rsidRPr="00640B1F">
              <w:rPr>
                <w:rStyle w:val="Hipercze"/>
                <w:noProof/>
              </w:rPr>
              <w:t>8.10</w:t>
            </w:r>
            <w:r w:rsidR="00543016">
              <w:rPr>
                <w:rFonts w:eastAsiaTheme="minorEastAsia" w:cstheme="minorBidi"/>
                <w:smallCaps w:val="0"/>
                <w:noProof/>
                <w:kern w:val="2"/>
                <w:sz w:val="22"/>
                <w:szCs w:val="22"/>
                <w14:ligatures w14:val="standardContextual"/>
              </w:rPr>
              <w:tab/>
            </w:r>
            <w:r w:rsidR="00543016" w:rsidRPr="00640B1F">
              <w:rPr>
                <w:rStyle w:val="Hipercze"/>
                <w:noProof/>
              </w:rPr>
              <w:t>Zagospodarowanie terenu</w:t>
            </w:r>
            <w:r w:rsidR="00543016">
              <w:rPr>
                <w:noProof/>
                <w:webHidden/>
              </w:rPr>
              <w:tab/>
            </w:r>
            <w:r w:rsidR="00543016">
              <w:rPr>
                <w:noProof/>
                <w:webHidden/>
              </w:rPr>
              <w:fldChar w:fldCharType="begin"/>
            </w:r>
            <w:r w:rsidR="00543016">
              <w:rPr>
                <w:noProof/>
                <w:webHidden/>
              </w:rPr>
              <w:instrText xml:space="preserve"> PAGEREF _Toc216678525 \h </w:instrText>
            </w:r>
            <w:r w:rsidR="00543016">
              <w:rPr>
                <w:noProof/>
                <w:webHidden/>
              </w:rPr>
            </w:r>
            <w:r w:rsidR="00543016">
              <w:rPr>
                <w:noProof/>
                <w:webHidden/>
              </w:rPr>
              <w:fldChar w:fldCharType="separate"/>
            </w:r>
            <w:r w:rsidR="00543016">
              <w:rPr>
                <w:noProof/>
                <w:webHidden/>
              </w:rPr>
              <w:t>33</w:t>
            </w:r>
            <w:r w:rsidR="00543016">
              <w:rPr>
                <w:noProof/>
                <w:webHidden/>
              </w:rPr>
              <w:fldChar w:fldCharType="end"/>
            </w:r>
          </w:hyperlink>
        </w:p>
        <w:p w14:paraId="5C7E9464" w14:textId="757D7F97"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6" w:history="1">
            <w:r w:rsidR="00543016" w:rsidRPr="00640B1F">
              <w:rPr>
                <w:rStyle w:val="Hipercze"/>
                <w:noProof/>
              </w:rPr>
              <w:t>8.11</w:t>
            </w:r>
            <w:r w:rsidR="00543016">
              <w:rPr>
                <w:rFonts w:eastAsiaTheme="minorEastAsia" w:cstheme="minorBidi"/>
                <w:smallCaps w:val="0"/>
                <w:noProof/>
                <w:kern w:val="2"/>
                <w:sz w:val="22"/>
                <w:szCs w:val="22"/>
                <w14:ligatures w14:val="standardContextual"/>
              </w:rPr>
              <w:tab/>
            </w:r>
            <w:r w:rsidR="00543016" w:rsidRPr="00640B1F">
              <w:rPr>
                <w:rStyle w:val="Hipercze"/>
                <w:noProof/>
              </w:rPr>
              <w:t>Budynek stacyjny</w:t>
            </w:r>
            <w:r w:rsidR="00543016">
              <w:rPr>
                <w:noProof/>
                <w:webHidden/>
              </w:rPr>
              <w:tab/>
            </w:r>
            <w:r w:rsidR="00543016">
              <w:rPr>
                <w:noProof/>
                <w:webHidden/>
              </w:rPr>
              <w:fldChar w:fldCharType="begin"/>
            </w:r>
            <w:r w:rsidR="00543016">
              <w:rPr>
                <w:noProof/>
                <w:webHidden/>
              </w:rPr>
              <w:instrText xml:space="preserve"> PAGEREF _Toc216678526 \h </w:instrText>
            </w:r>
            <w:r w:rsidR="00543016">
              <w:rPr>
                <w:noProof/>
                <w:webHidden/>
              </w:rPr>
            </w:r>
            <w:r w:rsidR="00543016">
              <w:rPr>
                <w:noProof/>
                <w:webHidden/>
              </w:rPr>
              <w:fldChar w:fldCharType="separate"/>
            </w:r>
            <w:r w:rsidR="00543016">
              <w:rPr>
                <w:noProof/>
                <w:webHidden/>
              </w:rPr>
              <w:t>34</w:t>
            </w:r>
            <w:r w:rsidR="00543016">
              <w:rPr>
                <w:noProof/>
                <w:webHidden/>
              </w:rPr>
              <w:fldChar w:fldCharType="end"/>
            </w:r>
          </w:hyperlink>
        </w:p>
        <w:p w14:paraId="7F0FB450" w14:textId="2EADFFD5" w:rsidR="00543016" w:rsidRDefault="00382CC0">
          <w:pPr>
            <w:pStyle w:val="Spistreci2"/>
            <w:tabs>
              <w:tab w:val="right" w:leader="dot" w:pos="9487"/>
            </w:tabs>
            <w:rPr>
              <w:rFonts w:eastAsiaTheme="minorEastAsia" w:cstheme="minorBidi"/>
              <w:smallCaps w:val="0"/>
              <w:noProof/>
              <w:kern w:val="2"/>
              <w:sz w:val="22"/>
              <w:szCs w:val="22"/>
              <w14:ligatures w14:val="standardContextual"/>
            </w:rPr>
          </w:pPr>
          <w:hyperlink w:anchor="_Toc216678527" w:history="1">
            <w:r w:rsidR="00543016" w:rsidRPr="00640B1F">
              <w:rPr>
                <w:rStyle w:val="Hipercze"/>
                <w:noProof/>
              </w:rPr>
              <w:t>8.12</w:t>
            </w:r>
            <w:r w:rsidR="00543016">
              <w:rPr>
                <w:rFonts w:eastAsiaTheme="minorEastAsia" w:cstheme="minorBidi"/>
                <w:smallCaps w:val="0"/>
                <w:noProof/>
                <w:kern w:val="2"/>
                <w:sz w:val="22"/>
                <w:szCs w:val="22"/>
                <w14:ligatures w14:val="standardContextual"/>
              </w:rPr>
              <w:tab/>
            </w:r>
            <w:r w:rsidR="00543016" w:rsidRPr="00640B1F">
              <w:rPr>
                <w:rStyle w:val="Hipercze"/>
                <w:noProof/>
              </w:rPr>
              <w:t>Wymagania dotyczące budowy linii kablowych 110kV</w:t>
            </w:r>
            <w:r w:rsidR="00543016">
              <w:rPr>
                <w:noProof/>
                <w:webHidden/>
              </w:rPr>
              <w:tab/>
            </w:r>
            <w:r w:rsidR="00543016">
              <w:rPr>
                <w:noProof/>
                <w:webHidden/>
              </w:rPr>
              <w:fldChar w:fldCharType="begin"/>
            </w:r>
            <w:r w:rsidR="00543016">
              <w:rPr>
                <w:noProof/>
                <w:webHidden/>
              </w:rPr>
              <w:instrText xml:space="preserve"> PAGEREF _Toc216678527 \h </w:instrText>
            </w:r>
            <w:r w:rsidR="00543016">
              <w:rPr>
                <w:noProof/>
                <w:webHidden/>
              </w:rPr>
            </w:r>
            <w:r w:rsidR="00543016">
              <w:rPr>
                <w:noProof/>
                <w:webHidden/>
              </w:rPr>
              <w:fldChar w:fldCharType="separate"/>
            </w:r>
            <w:r w:rsidR="00543016">
              <w:rPr>
                <w:noProof/>
                <w:webHidden/>
              </w:rPr>
              <w:t>35</w:t>
            </w:r>
            <w:r w:rsidR="00543016">
              <w:rPr>
                <w:noProof/>
                <w:webHidden/>
              </w:rPr>
              <w:fldChar w:fldCharType="end"/>
            </w:r>
          </w:hyperlink>
        </w:p>
        <w:p w14:paraId="18856829" w14:textId="6287755E" w:rsidR="00543016" w:rsidRDefault="00382CC0">
          <w:pPr>
            <w:pStyle w:val="Spistreci1"/>
            <w:tabs>
              <w:tab w:val="left" w:pos="1037"/>
            </w:tabs>
            <w:rPr>
              <w:rFonts w:eastAsiaTheme="minorEastAsia" w:cstheme="minorBidi"/>
              <w:b w:val="0"/>
              <w:bCs w:val="0"/>
              <w:caps w:val="0"/>
              <w:noProof/>
              <w:kern w:val="2"/>
              <w:sz w:val="22"/>
              <w:szCs w:val="22"/>
              <w14:ligatures w14:val="standardContextual"/>
            </w:rPr>
          </w:pPr>
          <w:hyperlink w:anchor="_Toc216678528" w:history="1">
            <w:r w:rsidR="00543016" w:rsidRPr="00640B1F">
              <w:rPr>
                <w:rStyle w:val="Hipercze"/>
                <w:rFonts w:cstheme="minorHAnsi"/>
                <w:noProof/>
              </w:rPr>
              <w:t>9</w:t>
            </w:r>
            <w:r w:rsidR="00543016">
              <w:rPr>
                <w:rFonts w:eastAsiaTheme="minorEastAsia" w:cstheme="minorBidi"/>
                <w:b w:val="0"/>
                <w:bCs w:val="0"/>
                <w:caps w:val="0"/>
                <w:noProof/>
                <w:kern w:val="2"/>
                <w:sz w:val="22"/>
                <w:szCs w:val="22"/>
                <w14:ligatures w14:val="standardContextual"/>
              </w:rPr>
              <w:tab/>
            </w:r>
            <w:r w:rsidR="00543016" w:rsidRPr="00640B1F">
              <w:rPr>
                <w:rStyle w:val="Hipercze"/>
                <w:rFonts w:cstheme="minorHAnsi"/>
                <w:noProof/>
              </w:rPr>
              <w:t>Załączniki</w:t>
            </w:r>
            <w:r w:rsidR="00543016">
              <w:rPr>
                <w:noProof/>
                <w:webHidden/>
              </w:rPr>
              <w:tab/>
            </w:r>
            <w:r w:rsidR="00543016">
              <w:rPr>
                <w:noProof/>
                <w:webHidden/>
              </w:rPr>
              <w:fldChar w:fldCharType="begin"/>
            </w:r>
            <w:r w:rsidR="00543016">
              <w:rPr>
                <w:noProof/>
                <w:webHidden/>
              </w:rPr>
              <w:instrText xml:space="preserve"> PAGEREF _Toc216678528 \h </w:instrText>
            </w:r>
            <w:r w:rsidR="00543016">
              <w:rPr>
                <w:noProof/>
                <w:webHidden/>
              </w:rPr>
            </w:r>
            <w:r w:rsidR="00543016">
              <w:rPr>
                <w:noProof/>
                <w:webHidden/>
              </w:rPr>
              <w:fldChar w:fldCharType="separate"/>
            </w:r>
            <w:r w:rsidR="00543016">
              <w:rPr>
                <w:noProof/>
                <w:webHidden/>
              </w:rPr>
              <w:t>36</w:t>
            </w:r>
            <w:r w:rsidR="00543016">
              <w:rPr>
                <w:noProof/>
                <w:webHidden/>
              </w:rPr>
              <w:fldChar w:fldCharType="end"/>
            </w:r>
          </w:hyperlink>
        </w:p>
        <w:p w14:paraId="50F9B38D" w14:textId="72FF9809" w:rsidR="00543016" w:rsidRDefault="00382CC0">
          <w:pPr>
            <w:pStyle w:val="Spistreci3"/>
            <w:rPr>
              <w:rFonts w:eastAsiaTheme="minorEastAsia" w:cstheme="minorBidi"/>
              <w:i w:val="0"/>
              <w:iCs w:val="0"/>
              <w:color w:val="auto"/>
              <w:kern w:val="2"/>
              <w:sz w:val="22"/>
              <w:szCs w:val="22"/>
              <w14:ligatures w14:val="standardContextual"/>
            </w:rPr>
          </w:pPr>
          <w:hyperlink w:anchor="_Toc216678529" w:history="1">
            <w:r w:rsidR="00543016" w:rsidRPr="00640B1F">
              <w:rPr>
                <w:rStyle w:val="Hipercze"/>
                <w:rFonts w:ascii="Calibri" w:hAnsi="Calibri" w:cs="Calibri"/>
                <w:bCs/>
              </w:rPr>
              <w:t>Załącznik nr 1 - Lokalizacja  stacji 110 kV CPK</w:t>
            </w:r>
            <w:r w:rsidR="00543016" w:rsidRPr="00640B1F">
              <w:rPr>
                <w:rStyle w:val="Hipercze"/>
                <w:rFonts w:ascii="Calibri" w:hAnsi="Calibri" w:cs="Calibri"/>
              </w:rPr>
              <w:t>.</w:t>
            </w:r>
            <w:r w:rsidR="00543016">
              <w:rPr>
                <w:webHidden/>
              </w:rPr>
              <w:tab/>
            </w:r>
            <w:r w:rsidR="00543016">
              <w:rPr>
                <w:webHidden/>
              </w:rPr>
              <w:fldChar w:fldCharType="begin"/>
            </w:r>
            <w:r w:rsidR="00543016">
              <w:rPr>
                <w:webHidden/>
              </w:rPr>
              <w:instrText xml:space="preserve"> PAGEREF _Toc216678529 \h </w:instrText>
            </w:r>
            <w:r w:rsidR="00543016">
              <w:rPr>
                <w:webHidden/>
              </w:rPr>
            </w:r>
            <w:r w:rsidR="00543016">
              <w:rPr>
                <w:webHidden/>
              </w:rPr>
              <w:fldChar w:fldCharType="separate"/>
            </w:r>
            <w:r w:rsidR="00543016">
              <w:rPr>
                <w:webHidden/>
              </w:rPr>
              <w:t>36</w:t>
            </w:r>
            <w:r w:rsidR="00543016">
              <w:rPr>
                <w:webHidden/>
              </w:rPr>
              <w:fldChar w:fldCharType="end"/>
            </w:r>
          </w:hyperlink>
        </w:p>
        <w:p w14:paraId="166A0D14" w14:textId="0DFBAAA0" w:rsidR="00543016" w:rsidRDefault="00382CC0">
          <w:pPr>
            <w:pStyle w:val="Spistreci3"/>
            <w:rPr>
              <w:rFonts w:eastAsiaTheme="minorEastAsia" w:cstheme="minorBidi"/>
              <w:i w:val="0"/>
              <w:iCs w:val="0"/>
              <w:color w:val="auto"/>
              <w:kern w:val="2"/>
              <w:sz w:val="22"/>
              <w:szCs w:val="22"/>
              <w14:ligatures w14:val="standardContextual"/>
            </w:rPr>
          </w:pPr>
          <w:hyperlink w:anchor="_Toc216678530" w:history="1">
            <w:r w:rsidR="00543016" w:rsidRPr="00640B1F">
              <w:rPr>
                <w:rStyle w:val="Hipercze"/>
                <w:rFonts w:ascii="Calibri" w:hAnsi="Calibri" w:cs="Calibri"/>
                <w:snapToGrid w:val="0"/>
              </w:rPr>
              <w:t>Załącznik nr 2 - Przykładowy schemat rozdzielni 110kV  stacji 110kV CPK.</w:t>
            </w:r>
            <w:r w:rsidR="00543016">
              <w:rPr>
                <w:webHidden/>
              </w:rPr>
              <w:tab/>
            </w:r>
            <w:r w:rsidR="00543016">
              <w:rPr>
                <w:webHidden/>
              </w:rPr>
              <w:fldChar w:fldCharType="begin"/>
            </w:r>
            <w:r w:rsidR="00543016">
              <w:rPr>
                <w:webHidden/>
              </w:rPr>
              <w:instrText xml:space="preserve"> PAGEREF _Toc216678530 \h </w:instrText>
            </w:r>
            <w:r w:rsidR="00543016">
              <w:rPr>
                <w:webHidden/>
              </w:rPr>
            </w:r>
            <w:r w:rsidR="00543016">
              <w:rPr>
                <w:webHidden/>
              </w:rPr>
              <w:fldChar w:fldCharType="separate"/>
            </w:r>
            <w:r w:rsidR="00543016">
              <w:rPr>
                <w:webHidden/>
              </w:rPr>
              <w:t>36</w:t>
            </w:r>
            <w:r w:rsidR="00543016">
              <w:rPr>
                <w:webHidden/>
              </w:rPr>
              <w:fldChar w:fldCharType="end"/>
            </w:r>
          </w:hyperlink>
        </w:p>
        <w:p w14:paraId="7D847E78" w14:textId="7B0911EB" w:rsidR="00543016" w:rsidRDefault="00382CC0">
          <w:pPr>
            <w:pStyle w:val="Spistreci3"/>
            <w:rPr>
              <w:rFonts w:eastAsiaTheme="minorEastAsia" w:cstheme="minorBidi"/>
              <w:i w:val="0"/>
              <w:iCs w:val="0"/>
              <w:color w:val="auto"/>
              <w:kern w:val="2"/>
              <w:sz w:val="22"/>
              <w:szCs w:val="22"/>
              <w14:ligatures w14:val="standardContextual"/>
            </w:rPr>
          </w:pPr>
          <w:hyperlink w:anchor="_Toc216678531" w:history="1">
            <w:r w:rsidR="00543016" w:rsidRPr="00640B1F">
              <w:rPr>
                <w:rStyle w:val="Hipercze"/>
                <w:rFonts w:ascii="Calibri" w:hAnsi="Calibri" w:cs="Calibri"/>
                <w:bCs/>
              </w:rPr>
              <w:t xml:space="preserve">Załącznik nr 3 - </w:t>
            </w:r>
            <w:r w:rsidR="00543016" w:rsidRPr="00640B1F">
              <w:rPr>
                <w:rStyle w:val="Hipercze"/>
                <w:rFonts w:ascii="Calibri" w:hAnsi="Calibri" w:cs="Calibri"/>
              </w:rPr>
              <w:t>Propozycja trasy linii kablowych  110kV zasilających stację 110kV CPK.</w:t>
            </w:r>
            <w:r w:rsidR="00543016">
              <w:rPr>
                <w:webHidden/>
              </w:rPr>
              <w:tab/>
            </w:r>
            <w:r w:rsidR="00543016">
              <w:rPr>
                <w:webHidden/>
              </w:rPr>
              <w:fldChar w:fldCharType="begin"/>
            </w:r>
            <w:r w:rsidR="00543016">
              <w:rPr>
                <w:webHidden/>
              </w:rPr>
              <w:instrText xml:space="preserve"> PAGEREF _Toc216678531 \h </w:instrText>
            </w:r>
            <w:r w:rsidR="00543016">
              <w:rPr>
                <w:webHidden/>
              </w:rPr>
            </w:r>
            <w:r w:rsidR="00543016">
              <w:rPr>
                <w:webHidden/>
              </w:rPr>
              <w:fldChar w:fldCharType="separate"/>
            </w:r>
            <w:r w:rsidR="00543016">
              <w:rPr>
                <w:webHidden/>
              </w:rPr>
              <w:t>36</w:t>
            </w:r>
            <w:r w:rsidR="00543016">
              <w:rPr>
                <w:webHidden/>
              </w:rPr>
              <w:fldChar w:fldCharType="end"/>
            </w:r>
          </w:hyperlink>
        </w:p>
        <w:p w14:paraId="5EF4C95D" w14:textId="59A25DE0" w:rsidR="00543016" w:rsidRDefault="00382CC0">
          <w:pPr>
            <w:pStyle w:val="Spistreci3"/>
            <w:rPr>
              <w:rFonts w:eastAsiaTheme="minorEastAsia" w:cstheme="minorBidi"/>
              <w:i w:val="0"/>
              <w:iCs w:val="0"/>
              <w:color w:val="auto"/>
              <w:kern w:val="2"/>
              <w:sz w:val="22"/>
              <w:szCs w:val="22"/>
              <w14:ligatures w14:val="standardContextual"/>
            </w:rPr>
          </w:pPr>
          <w:hyperlink w:anchor="_Toc216678532" w:history="1">
            <w:r w:rsidR="00543016" w:rsidRPr="00640B1F">
              <w:rPr>
                <w:rStyle w:val="Hipercze"/>
                <w:rFonts w:ascii="Calibri" w:hAnsi="Calibri" w:cs="Calibri"/>
                <w:bCs/>
              </w:rPr>
              <w:t>Załącznik nr 4 - Linie 15kV kolidujące z lokalizacją stacji 110kV CPK.</w:t>
            </w:r>
            <w:r w:rsidR="00543016">
              <w:rPr>
                <w:webHidden/>
              </w:rPr>
              <w:tab/>
            </w:r>
            <w:r w:rsidR="00543016">
              <w:rPr>
                <w:webHidden/>
              </w:rPr>
              <w:fldChar w:fldCharType="begin"/>
            </w:r>
            <w:r w:rsidR="00543016">
              <w:rPr>
                <w:webHidden/>
              </w:rPr>
              <w:instrText xml:space="preserve"> PAGEREF _Toc216678532 \h </w:instrText>
            </w:r>
            <w:r w:rsidR="00543016">
              <w:rPr>
                <w:webHidden/>
              </w:rPr>
            </w:r>
            <w:r w:rsidR="00543016">
              <w:rPr>
                <w:webHidden/>
              </w:rPr>
              <w:fldChar w:fldCharType="separate"/>
            </w:r>
            <w:r w:rsidR="00543016">
              <w:rPr>
                <w:webHidden/>
              </w:rPr>
              <w:t>36</w:t>
            </w:r>
            <w:r w:rsidR="00543016">
              <w:rPr>
                <w:webHidden/>
              </w:rPr>
              <w:fldChar w:fldCharType="end"/>
            </w:r>
          </w:hyperlink>
        </w:p>
        <w:p w14:paraId="6FDDD3B7" w14:textId="21BEDEE8" w:rsidR="00543016" w:rsidRDefault="00382CC0">
          <w:pPr>
            <w:pStyle w:val="Spistreci3"/>
            <w:rPr>
              <w:rFonts w:eastAsiaTheme="minorEastAsia" w:cstheme="minorBidi"/>
              <w:i w:val="0"/>
              <w:iCs w:val="0"/>
              <w:color w:val="auto"/>
              <w:kern w:val="2"/>
              <w:sz w:val="22"/>
              <w:szCs w:val="22"/>
              <w14:ligatures w14:val="standardContextual"/>
            </w:rPr>
          </w:pPr>
          <w:hyperlink w:anchor="_Toc216678533" w:history="1">
            <w:r w:rsidR="00543016" w:rsidRPr="00640B1F">
              <w:rPr>
                <w:rStyle w:val="Hipercze"/>
                <w:rFonts w:ascii="Calibri" w:hAnsi="Calibri" w:cs="Calibri"/>
                <w:bCs/>
              </w:rPr>
              <w:t>Załącznik nr 5 – Warunki przyłączenia obiektu: Centralny Port Komunikacyjny.</w:t>
            </w:r>
            <w:r w:rsidR="00543016">
              <w:rPr>
                <w:webHidden/>
              </w:rPr>
              <w:tab/>
            </w:r>
            <w:r w:rsidR="00543016">
              <w:rPr>
                <w:webHidden/>
              </w:rPr>
              <w:fldChar w:fldCharType="begin"/>
            </w:r>
            <w:r w:rsidR="00543016">
              <w:rPr>
                <w:webHidden/>
              </w:rPr>
              <w:instrText xml:space="preserve"> PAGEREF _Toc216678533 \h </w:instrText>
            </w:r>
            <w:r w:rsidR="00543016">
              <w:rPr>
                <w:webHidden/>
              </w:rPr>
            </w:r>
            <w:r w:rsidR="00543016">
              <w:rPr>
                <w:webHidden/>
              </w:rPr>
              <w:fldChar w:fldCharType="separate"/>
            </w:r>
            <w:r w:rsidR="00543016">
              <w:rPr>
                <w:webHidden/>
              </w:rPr>
              <w:t>36</w:t>
            </w:r>
            <w:r w:rsidR="00543016">
              <w:rPr>
                <w:webHidden/>
              </w:rPr>
              <w:fldChar w:fldCharType="end"/>
            </w:r>
          </w:hyperlink>
        </w:p>
        <w:p w14:paraId="2C101901" w14:textId="32C5DA84" w:rsidR="00543016" w:rsidRDefault="00382CC0">
          <w:pPr>
            <w:pStyle w:val="Spistreci3"/>
            <w:rPr>
              <w:rFonts w:eastAsiaTheme="minorEastAsia" w:cstheme="minorBidi"/>
              <w:i w:val="0"/>
              <w:iCs w:val="0"/>
              <w:color w:val="auto"/>
              <w:kern w:val="2"/>
              <w:sz w:val="22"/>
              <w:szCs w:val="22"/>
              <w14:ligatures w14:val="standardContextual"/>
            </w:rPr>
          </w:pPr>
          <w:hyperlink w:anchor="_Toc216678534" w:history="1">
            <w:r w:rsidR="00543016" w:rsidRPr="00640B1F">
              <w:rPr>
                <w:rStyle w:val="Hipercze"/>
                <w:rFonts w:ascii="Calibri" w:hAnsi="Calibri" w:cs="Calibri"/>
                <w:bCs/>
              </w:rPr>
              <w:t>Załącznik nr 6 – Mapa projektu podziału nieruchomości</w:t>
            </w:r>
            <w:r w:rsidR="00543016">
              <w:rPr>
                <w:webHidden/>
              </w:rPr>
              <w:tab/>
            </w:r>
            <w:r w:rsidR="00543016">
              <w:rPr>
                <w:webHidden/>
              </w:rPr>
              <w:fldChar w:fldCharType="begin"/>
            </w:r>
            <w:r w:rsidR="00543016">
              <w:rPr>
                <w:webHidden/>
              </w:rPr>
              <w:instrText xml:space="preserve"> PAGEREF _Toc216678534 \h </w:instrText>
            </w:r>
            <w:r w:rsidR="00543016">
              <w:rPr>
                <w:webHidden/>
              </w:rPr>
            </w:r>
            <w:r w:rsidR="00543016">
              <w:rPr>
                <w:webHidden/>
              </w:rPr>
              <w:fldChar w:fldCharType="separate"/>
            </w:r>
            <w:r w:rsidR="00543016">
              <w:rPr>
                <w:webHidden/>
              </w:rPr>
              <w:t>36</w:t>
            </w:r>
            <w:r w:rsidR="00543016">
              <w:rPr>
                <w:webHidden/>
              </w:rPr>
              <w:fldChar w:fldCharType="end"/>
            </w:r>
          </w:hyperlink>
        </w:p>
        <w:p w14:paraId="0120BEC1" w14:textId="75D26832" w:rsidR="004F1839" w:rsidRPr="005F6FAE" w:rsidRDefault="002B7295" w:rsidP="00063F33">
          <w:pPr>
            <w:pStyle w:val="Spistreci2"/>
            <w:tabs>
              <w:tab w:val="right" w:leader="dot" w:pos="9061"/>
            </w:tabs>
            <w:ind w:left="0" w:firstLine="0"/>
            <w:rPr>
              <w:rFonts w:cstheme="minorHAnsi"/>
            </w:rPr>
          </w:pPr>
          <w:r w:rsidRPr="005F6FAE">
            <w:rPr>
              <w:rFonts w:cstheme="minorHAnsi"/>
              <w:b/>
              <w:bCs/>
              <w:sz w:val="18"/>
            </w:rPr>
            <w:fldChar w:fldCharType="end"/>
          </w:r>
        </w:p>
      </w:sdtContent>
    </w:sdt>
    <w:p w14:paraId="6042B087" w14:textId="77777777" w:rsidR="00402FBE" w:rsidRDefault="00402FBE" w:rsidP="00402FBE">
      <w:pPr>
        <w:pStyle w:val="Nagwek1"/>
        <w:keepNext w:val="0"/>
        <w:numPr>
          <w:ilvl w:val="0"/>
          <w:numId w:val="0"/>
        </w:numPr>
        <w:spacing w:before="240" w:after="120"/>
        <w:rPr>
          <w:rFonts w:asciiTheme="minorHAnsi" w:hAnsiTheme="minorHAnsi" w:cstheme="minorHAnsi"/>
        </w:rPr>
      </w:pPr>
    </w:p>
    <w:p w14:paraId="5D8D5D1F" w14:textId="65ED1BDD" w:rsidR="00613DD0" w:rsidRPr="00613DD0" w:rsidRDefault="00613DD0" w:rsidP="00C11CF4">
      <w:pPr>
        <w:ind w:left="0" w:firstLine="0"/>
      </w:pPr>
    </w:p>
    <w:p w14:paraId="133A48A1" w14:textId="77777777" w:rsidR="00402FBE" w:rsidRPr="00402FBE" w:rsidRDefault="00C37261" w:rsidP="00402FBE">
      <w:pPr>
        <w:pStyle w:val="Nagwek1"/>
        <w:keepNext w:val="0"/>
        <w:spacing w:before="240" w:after="120"/>
        <w:ind w:left="431" w:hanging="431"/>
        <w:rPr>
          <w:rFonts w:asciiTheme="minorHAnsi" w:hAnsiTheme="minorHAnsi" w:cstheme="minorHAnsi"/>
        </w:rPr>
      </w:pPr>
      <w:bookmarkStart w:id="0" w:name="_Toc216678503"/>
      <w:r w:rsidRPr="005F6FAE">
        <w:rPr>
          <w:rFonts w:asciiTheme="minorHAnsi" w:hAnsiTheme="minorHAnsi" w:cstheme="minorHAnsi"/>
        </w:rPr>
        <w:lastRenderedPageBreak/>
        <w:t>Określenie przedmiotu zamówienia</w:t>
      </w:r>
      <w:bookmarkEnd w:id="0"/>
    </w:p>
    <w:p w14:paraId="3E00FE36" w14:textId="1410ACFD" w:rsidR="00C37261" w:rsidRPr="00F15649" w:rsidRDefault="00C14DEF" w:rsidP="00F15649">
      <w:pPr>
        <w:pStyle w:val="bezpunkw"/>
        <w:ind w:firstLine="425"/>
        <w:rPr>
          <w:rFonts w:cstheme="minorHAnsi"/>
          <w:b/>
          <w:szCs w:val="20"/>
        </w:rPr>
      </w:pPr>
      <w:r w:rsidRPr="005F6FAE">
        <w:rPr>
          <w:rFonts w:cstheme="minorHAnsi"/>
        </w:rPr>
        <w:t>Przedmiotem zamówienia jest wykonanie dokumentacji projektowej</w:t>
      </w:r>
      <w:r w:rsidR="00402FBE">
        <w:rPr>
          <w:rFonts w:cstheme="minorHAnsi"/>
        </w:rPr>
        <w:t xml:space="preserve"> zgodnie z umową o prace projektowe</w:t>
      </w:r>
      <w:r w:rsidRPr="005F6FAE">
        <w:rPr>
          <w:rFonts w:cstheme="minorHAnsi"/>
        </w:rPr>
        <w:t xml:space="preserve"> dla zadania wyszczególnion</w:t>
      </w:r>
      <w:r w:rsidR="005F5DDD" w:rsidRPr="005F6FAE">
        <w:rPr>
          <w:rFonts w:cstheme="minorHAnsi"/>
        </w:rPr>
        <w:t>ego przez Zamawiającego poniżej:</w:t>
      </w:r>
      <w:r w:rsidR="005E2299" w:rsidRPr="005F6FAE">
        <w:rPr>
          <w:rFonts w:cstheme="minorHAnsi"/>
        </w:rPr>
        <w:t xml:space="preserve"> </w:t>
      </w:r>
      <w:r w:rsidR="00BE7D5C" w:rsidRPr="005F6FAE">
        <w:rPr>
          <w:rFonts w:cstheme="minorHAnsi"/>
          <w:b/>
          <w:sz w:val="20"/>
          <w:szCs w:val="20"/>
        </w:rPr>
        <w:t>„</w:t>
      </w:r>
      <w:r w:rsidR="00F15649">
        <w:rPr>
          <w:rFonts w:cstheme="minorHAnsi"/>
          <w:b/>
          <w:szCs w:val="20"/>
        </w:rPr>
        <w:t xml:space="preserve">Budowa stacji 110kV </w:t>
      </w:r>
      <w:r w:rsidR="00F15649" w:rsidRPr="00F15649">
        <w:rPr>
          <w:rFonts w:cstheme="minorHAnsi"/>
          <w:b/>
          <w:szCs w:val="20"/>
        </w:rPr>
        <w:t xml:space="preserve">CPK wraz z </w:t>
      </w:r>
      <w:proofErr w:type="spellStart"/>
      <w:r w:rsidR="00F15649">
        <w:rPr>
          <w:rFonts w:cstheme="minorHAnsi"/>
          <w:b/>
          <w:szCs w:val="20"/>
        </w:rPr>
        <w:t>odgałęzieniami</w:t>
      </w:r>
      <w:proofErr w:type="spellEnd"/>
      <w:r w:rsidR="00F15649">
        <w:rPr>
          <w:rFonts w:cstheme="minorHAnsi"/>
          <w:b/>
          <w:szCs w:val="20"/>
        </w:rPr>
        <w:t xml:space="preserve"> </w:t>
      </w:r>
      <w:r w:rsidR="00F15649" w:rsidRPr="00F15649">
        <w:rPr>
          <w:rFonts w:cstheme="minorHAnsi"/>
          <w:b/>
          <w:szCs w:val="20"/>
        </w:rPr>
        <w:t>z dwutorowej linii 110kV relacji Sochaczew-Żyrardów i Teresin-Bielnik oraz z jednotorowej linii 110kV Sochaczew-Grodzisk</w:t>
      </w:r>
      <w:r w:rsidR="00BE7D5C" w:rsidRPr="005F6FAE">
        <w:rPr>
          <w:rFonts w:cstheme="minorHAnsi"/>
          <w:b/>
          <w:szCs w:val="20"/>
        </w:rPr>
        <w:t>”</w:t>
      </w:r>
    </w:p>
    <w:p w14:paraId="47254086" w14:textId="77777777" w:rsidR="00C14DEF" w:rsidRPr="005F6FAE" w:rsidRDefault="00C14DEF" w:rsidP="00157809">
      <w:pPr>
        <w:pStyle w:val="Nagwek1"/>
        <w:spacing w:before="120" w:after="120"/>
        <w:rPr>
          <w:rFonts w:asciiTheme="minorHAnsi" w:hAnsiTheme="minorHAnsi" w:cstheme="minorHAnsi"/>
        </w:rPr>
      </w:pPr>
      <w:bookmarkStart w:id="1" w:name="_Toc412746369"/>
      <w:bookmarkStart w:id="2" w:name="_Toc216678504"/>
      <w:r w:rsidRPr="005F6FAE">
        <w:rPr>
          <w:rFonts w:asciiTheme="minorHAnsi" w:hAnsiTheme="minorHAnsi" w:cstheme="minorHAnsi"/>
        </w:rPr>
        <w:t xml:space="preserve">Zasady </w:t>
      </w:r>
      <w:bookmarkEnd w:id="1"/>
      <w:r w:rsidR="00402FBE">
        <w:rPr>
          <w:rFonts w:asciiTheme="minorHAnsi" w:hAnsiTheme="minorHAnsi" w:cstheme="minorHAnsi"/>
        </w:rPr>
        <w:t>wykonywania dokumentacji projektowej</w:t>
      </w:r>
      <w:bookmarkEnd w:id="2"/>
    </w:p>
    <w:p w14:paraId="7B292586" w14:textId="04A51481" w:rsidR="00EE1E21" w:rsidRPr="005F6FAE" w:rsidRDefault="00C14DEF" w:rsidP="00511E62">
      <w:pPr>
        <w:pStyle w:val="bezpunkw"/>
        <w:numPr>
          <w:ilvl w:val="0"/>
          <w:numId w:val="14"/>
        </w:numPr>
        <w:rPr>
          <w:rFonts w:cstheme="minorHAnsi"/>
        </w:rPr>
      </w:pPr>
      <w:bookmarkStart w:id="3" w:name="_Toc396477879"/>
      <w:bookmarkStart w:id="4" w:name="_Toc396486110"/>
      <w:bookmarkStart w:id="5" w:name="_Toc396486360"/>
      <w:bookmarkStart w:id="6" w:name="_Toc412746370"/>
      <w:bookmarkStart w:id="7" w:name="_Toc417565852"/>
      <w:bookmarkStart w:id="8" w:name="_Toc428713513"/>
      <w:r w:rsidRPr="005F6FAE">
        <w:rPr>
          <w:rFonts w:cstheme="minorHAnsi"/>
        </w:rPr>
        <w:t xml:space="preserve">Na wykonanie dokumentacji projektowej zawarta zostanie umowa pisemna, której wzór jest załącznikiem nr </w:t>
      </w:r>
      <w:r w:rsidR="00B628F4">
        <w:rPr>
          <w:rFonts w:cstheme="minorHAnsi"/>
        </w:rPr>
        <w:t>2</w:t>
      </w:r>
      <w:r w:rsidRPr="005F6FAE">
        <w:rPr>
          <w:rFonts w:cstheme="minorHAnsi"/>
        </w:rPr>
        <w:t xml:space="preserve"> do </w:t>
      </w:r>
      <w:r w:rsidR="00402FBE">
        <w:rPr>
          <w:rFonts w:cstheme="minorHAnsi"/>
        </w:rPr>
        <w:t>SWZ</w:t>
      </w:r>
      <w:bookmarkEnd w:id="3"/>
      <w:bookmarkEnd w:id="4"/>
      <w:bookmarkEnd w:id="5"/>
      <w:bookmarkEnd w:id="6"/>
      <w:bookmarkEnd w:id="7"/>
      <w:bookmarkEnd w:id="8"/>
      <w:r w:rsidR="007E3B1C" w:rsidRPr="005F6FAE">
        <w:rPr>
          <w:rFonts w:cstheme="minorHAnsi"/>
        </w:rPr>
        <w:t>.</w:t>
      </w:r>
      <w:bookmarkStart w:id="9" w:name="_Toc396477880"/>
      <w:bookmarkStart w:id="10" w:name="_Toc396486111"/>
      <w:bookmarkStart w:id="11" w:name="_Toc396486361"/>
      <w:bookmarkStart w:id="12" w:name="_Toc412746371"/>
      <w:bookmarkStart w:id="13" w:name="_Toc417565853"/>
      <w:bookmarkStart w:id="14" w:name="_Toc428713514"/>
      <w:r w:rsidR="00EE1E21" w:rsidRPr="005F6FAE">
        <w:rPr>
          <w:rFonts w:cstheme="minorHAnsi"/>
        </w:rPr>
        <w:t xml:space="preserve"> </w:t>
      </w:r>
    </w:p>
    <w:p w14:paraId="74918581" w14:textId="77777777" w:rsidR="00C14DEF" w:rsidRPr="005F6FAE" w:rsidRDefault="00C14DEF" w:rsidP="00511E62">
      <w:pPr>
        <w:pStyle w:val="bezpunkw"/>
        <w:numPr>
          <w:ilvl w:val="0"/>
          <w:numId w:val="14"/>
        </w:numPr>
        <w:rPr>
          <w:rFonts w:cstheme="minorHAnsi"/>
        </w:rPr>
      </w:pPr>
      <w:r w:rsidRPr="005F6FAE">
        <w:rPr>
          <w:rFonts w:cstheme="minorHAnsi"/>
        </w:rPr>
        <w:t xml:space="preserve">Załącznikiem do ww. umowy będzie przyjęta oferta Wykonawcy i </w:t>
      </w:r>
      <w:r w:rsidR="00402FBE">
        <w:rPr>
          <w:rFonts w:cstheme="minorHAnsi"/>
        </w:rPr>
        <w:t>SWZ</w:t>
      </w:r>
      <w:r w:rsidRPr="005F6FAE">
        <w:rPr>
          <w:rFonts w:cstheme="minorHAnsi"/>
        </w:rPr>
        <w:t>.</w:t>
      </w:r>
      <w:bookmarkEnd w:id="9"/>
      <w:bookmarkEnd w:id="10"/>
      <w:bookmarkEnd w:id="11"/>
      <w:bookmarkEnd w:id="12"/>
      <w:bookmarkEnd w:id="13"/>
      <w:bookmarkEnd w:id="14"/>
    </w:p>
    <w:p w14:paraId="0DBBA193" w14:textId="77777777" w:rsidR="00402FBE" w:rsidRPr="00F934AF" w:rsidRDefault="00402FBE" w:rsidP="00511E62">
      <w:pPr>
        <w:pStyle w:val="Nagwek4"/>
        <w:numPr>
          <w:ilvl w:val="0"/>
          <w:numId w:val="14"/>
        </w:numPr>
      </w:pPr>
      <w:r w:rsidRPr="00F934AF">
        <w:t>Termin realizacji wykonania dokumentacji projektowej może ulec przesunięciu tylko w</w:t>
      </w:r>
      <w:r>
        <w:t> </w:t>
      </w:r>
      <w:r w:rsidRPr="00F934AF">
        <w:t>przypadkach określonych w umowie.</w:t>
      </w:r>
    </w:p>
    <w:p w14:paraId="723233AE" w14:textId="44FF325C" w:rsidR="00402FBE" w:rsidRPr="00846931" w:rsidRDefault="00402FBE" w:rsidP="00511E62">
      <w:pPr>
        <w:pStyle w:val="Nagwek4"/>
        <w:numPr>
          <w:ilvl w:val="0"/>
          <w:numId w:val="14"/>
        </w:numPr>
      </w:pPr>
      <w:r w:rsidRPr="00F934AF">
        <w:t xml:space="preserve">Zawartość tomów projektu budowlanego, wykonawczego i zgód właścicieli nieruchomości określa </w:t>
      </w:r>
      <w:r w:rsidR="009517D3">
        <w:t>z</w:t>
      </w:r>
      <w:r w:rsidRPr="00846931">
        <w:t>ałącznik nr 1.1</w:t>
      </w:r>
      <w:r w:rsidR="009517D3">
        <w:t xml:space="preserve"> do SWZ.</w:t>
      </w:r>
    </w:p>
    <w:p w14:paraId="0AF58BA8" w14:textId="6B163C5B" w:rsidR="00402FBE" w:rsidRPr="002B4B1A" w:rsidRDefault="00402FBE" w:rsidP="00511E62">
      <w:pPr>
        <w:pStyle w:val="Nagwek4"/>
        <w:numPr>
          <w:ilvl w:val="0"/>
          <w:numId w:val="14"/>
        </w:numPr>
      </w:pPr>
      <w:r w:rsidRPr="00846931">
        <w:t xml:space="preserve">Zasady wykonania kosztorysu inwestorskiego określają Wytyczne do kosztorysowania, stanowiące </w:t>
      </w:r>
      <w:r w:rsidR="009517D3">
        <w:t>z</w:t>
      </w:r>
      <w:r w:rsidRPr="00846931">
        <w:t>ałącznik nr 1.2</w:t>
      </w:r>
      <w:r w:rsidR="009517D3">
        <w:t xml:space="preserve"> do SWZ.</w:t>
      </w:r>
    </w:p>
    <w:p w14:paraId="08FB5FCF" w14:textId="77777777" w:rsidR="00C37261" w:rsidRPr="005F6FAE" w:rsidRDefault="00C37261" w:rsidP="000C7774">
      <w:pPr>
        <w:pStyle w:val="Nagwek1"/>
        <w:spacing w:before="120" w:after="120" w:line="240" w:lineRule="auto"/>
        <w:ind w:left="431" w:hanging="431"/>
        <w:rPr>
          <w:rFonts w:asciiTheme="minorHAnsi" w:hAnsiTheme="minorHAnsi" w:cstheme="minorHAnsi"/>
        </w:rPr>
      </w:pPr>
      <w:bookmarkStart w:id="15" w:name="_Toc216678505"/>
      <w:r w:rsidRPr="005F6FAE">
        <w:rPr>
          <w:rFonts w:asciiTheme="minorHAnsi" w:hAnsiTheme="minorHAnsi" w:cstheme="minorHAnsi"/>
        </w:rPr>
        <w:t>Obowiązki Wykonawcy przed złożeniem oferty</w:t>
      </w:r>
      <w:bookmarkEnd w:id="15"/>
    </w:p>
    <w:p w14:paraId="43A0201D" w14:textId="708ABDE6" w:rsidR="00566F19" w:rsidRPr="00566F19" w:rsidRDefault="00C37261" w:rsidP="00511E62">
      <w:pPr>
        <w:pStyle w:val="bezpunkw"/>
        <w:numPr>
          <w:ilvl w:val="0"/>
          <w:numId w:val="15"/>
        </w:numPr>
        <w:rPr>
          <w:rFonts w:cstheme="minorHAnsi"/>
        </w:rPr>
      </w:pPr>
      <w:bookmarkStart w:id="16" w:name="_Toc428713520"/>
      <w:bookmarkStart w:id="17" w:name="_Toc380749094"/>
      <w:bookmarkStart w:id="18" w:name="_Toc380999530"/>
      <w:bookmarkStart w:id="19" w:name="_Toc399845168"/>
      <w:bookmarkStart w:id="20" w:name="_Toc399845617"/>
      <w:bookmarkStart w:id="21" w:name="_Toc399850570"/>
      <w:bookmarkStart w:id="22" w:name="_Toc399851069"/>
      <w:bookmarkStart w:id="23" w:name="_Toc406739986"/>
      <w:bookmarkStart w:id="24" w:name="_Toc406740654"/>
      <w:bookmarkStart w:id="25" w:name="_Toc417565861"/>
      <w:r w:rsidRPr="005F6FAE">
        <w:rPr>
          <w:rFonts w:cstheme="minorHAnsi"/>
        </w:rPr>
        <w:t xml:space="preserve">Zapoznanie </w:t>
      </w:r>
      <w:bookmarkEnd w:id="16"/>
      <w:bookmarkEnd w:id="17"/>
      <w:bookmarkEnd w:id="18"/>
      <w:bookmarkEnd w:id="19"/>
      <w:bookmarkEnd w:id="20"/>
      <w:bookmarkEnd w:id="21"/>
      <w:bookmarkEnd w:id="22"/>
      <w:bookmarkEnd w:id="23"/>
      <w:bookmarkEnd w:id="24"/>
      <w:bookmarkEnd w:id="25"/>
      <w:r w:rsidR="00566F19" w:rsidRPr="00566F19">
        <w:rPr>
          <w:rFonts w:cstheme="minorHAnsi"/>
        </w:rPr>
        <w:t xml:space="preserve">się z danymi wyjściowymi do projektowania </w:t>
      </w:r>
      <w:r w:rsidR="00F15649">
        <w:rPr>
          <w:rFonts w:cstheme="minorHAnsi"/>
        </w:rPr>
        <w:t>budowy</w:t>
      </w:r>
      <w:r w:rsidR="00F15649" w:rsidRPr="00F15649">
        <w:rPr>
          <w:rFonts w:cstheme="minorHAnsi"/>
        </w:rPr>
        <w:t xml:space="preserve"> stacji 110kV CPK wraz z </w:t>
      </w:r>
      <w:proofErr w:type="spellStart"/>
      <w:r w:rsidR="00F15649" w:rsidRPr="00F15649">
        <w:rPr>
          <w:rFonts w:cstheme="minorHAnsi"/>
        </w:rPr>
        <w:t>odgałęzieniami</w:t>
      </w:r>
      <w:proofErr w:type="spellEnd"/>
      <w:r w:rsidR="00F15649" w:rsidRPr="00F15649">
        <w:rPr>
          <w:rFonts w:cstheme="minorHAnsi"/>
        </w:rPr>
        <w:t xml:space="preserve"> z dwutorowej linii 110kV relacji Sochaczew-Żyrardów i Teresin-Bielnik oraz z jednotorowej linii 110kV Sochaczew-Grodzisk</w:t>
      </w:r>
      <w:r w:rsidR="00F15649">
        <w:rPr>
          <w:rFonts w:cstheme="minorHAnsi"/>
        </w:rPr>
        <w:t>.</w:t>
      </w:r>
    </w:p>
    <w:p w14:paraId="430AE9F3" w14:textId="2773011C" w:rsidR="00D24E1F" w:rsidRPr="005F6FAE" w:rsidRDefault="00C14DEF" w:rsidP="00511E62">
      <w:pPr>
        <w:pStyle w:val="bezpunkw"/>
        <w:numPr>
          <w:ilvl w:val="0"/>
          <w:numId w:val="15"/>
        </w:numPr>
        <w:rPr>
          <w:rFonts w:cstheme="minorHAnsi"/>
        </w:rPr>
      </w:pPr>
      <w:bookmarkStart w:id="26" w:name="_Toc380749095"/>
      <w:bookmarkStart w:id="27" w:name="_Toc380999531"/>
      <w:bookmarkStart w:id="28" w:name="_Toc399845169"/>
      <w:bookmarkStart w:id="29" w:name="_Toc399845618"/>
      <w:bookmarkStart w:id="30" w:name="_Toc399850571"/>
      <w:bookmarkStart w:id="31" w:name="_Toc399851070"/>
      <w:bookmarkStart w:id="32" w:name="_Toc406739987"/>
      <w:bookmarkStart w:id="33" w:name="_Toc406740655"/>
      <w:bookmarkStart w:id="34" w:name="_Toc417565862"/>
      <w:bookmarkStart w:id="35" w:name="_Toc428713521"/>
      <w:r w:rsidRPr="005F6FAE">
        <w:rPr>
          <w:rFonts w:cstheme="minorHAnsi"/>
        </w:rPr>
        <w:t>Zapoznanie się z warunkami i wymaganiami ofertowymi i treścią wzoru umow</w:t>
      </w:r>
      <w:r w:rsidR="007F5019" w:rsidRPr="005F6FAE">
        <w:rPr>
          <w:rFonts w:cstheme="minorHAnsi"/>
        </w:rPr>
        <w:t xml:space="preserve">y o </w:t>
      </w:r>
      <w:r w:rsidR="00402FBE">
        <w:rPr>
          <w:rFonts w:cstheme="minorHAnsi"/>
        </w:rPr>
        <w:t>prace projektowe</w:t>
      </w:r>
      <w:r w:rsidR="007F5019" w:rsidRPr="005F6FAE">
        <w:rPr>
          <w:rFonts w:cstheme="minorHAnsi"/>
        </w:rPr>
        <w:t xml:space="preserve"> </w:t>
      </w:r>
      <w:r w:rsidRPr="005F6FAE">
        <w:rPr>
          <w:rFonts w:cstheme="minorHAnsi"/>
        </w:rPr>
        <w:t xml:space="preserve">stanowiącej załącznik nr </w:t>
      </w:r>
      <w:r w:rsidR="00B628F4">
        <w:rPr>
          <w:rFonts w:cstheme="minorHAnsi"/>
        </w:rPr>
        <w:t>2</w:t>
      </w:r>
      <w:r w:rsidRPr="005F6FAE">
        <w:rPr>
          <w:rFonts w:cstheme="minorHAnsi"/>
        </w:rPr>
        <w:t xml:space="preserve"> do </w:t>
      </w:r>
      <w:r w:rsidR="00402FBE">
        <w:rPr>
          <w:rFonts w:cstheme="minorHAnsi"/>
        </w:rPr>
        <w:t>SWZ</w:t>
      </w:r>
      <w:r w:rsidR="00C37261" w:rsidRPr="005F6FAE">
        <w:rPr>
          <w:rFonts w:cstheme="minorHAnsi"/>
        </w:rPr>
        <w:t>.</w:t>
      </w:r>
      <w:bookmarkEnd w:id="26"/>
      <w:bookmarkEnd w:id="27"/>
      <w:bookmarkEnd w:id="28"/>
      <w:bookmarkEnd w:id="29"/>
      <w:bookmarkEnd w:id="30"/>
      <w:bookmarkEnd w:id="31"/>
      <w:bookmarkEnd w:id="32"/>
      <w:bookmarkEnd w:id="33"/>
      <w:bookmarkEnd w:id="34"/>
      <w:bookmarkEnd w:id="35"/>
      <w:r w:rsidR="00D24E1F" w:rsidRPr="005F6FAE">
        <w:rPr>
          <w:rFonts w:cstheme="minorHAnsi"/>
        </w:rPr>
        <w:t xml:space="preserve"> </w:t>
      </w:r>
    </w:p>
    <w:p w14:paraId="14BDF34F" w14:textId="77777777" w:rsidR="00553224" w:rsidRPr="005F6FAE" w:rsidRDefault="000F60E9" w:rsidP="00511E62">
      <w:pPr>
        <w:pStyle w:val="bezpunkw"/>
        <w:numPr>
          <w:ilvl w:val="0"/>
          <w:numId w:val="15"/>
        </w:numPr>
        <w:rPr>
          <w:rFonts w:cstheme="minorHAnsi"/>
        </w:rPr>
      </w:pPr>
      <w:bookmarkStart w:id="36" w:name="_Toc380749096"/>
      <w:bookmarkStart w:id="37" w:name="_Toc380999532"/>
      <w:bookmarkStart w:id="38" w:name="_Toc399845171"/>
      <w:bookmarkStart w:id="39" w:name="_Toc399845620"/>
      <w:bookmarkStart w:id="40" w:name="_Toc399850573"/>
      <w:bookmarkStart w:id="41" w:name="_Toc399851072"/>
      <w:bookmarkStart w:id="42" w:name="_Toc406739989"/>
      <w:bookmarkStart w:id="43" w:name="_Toc406740657"/>
      <w:bookmarkStart w:id="44" w:name="_Toc417565864"/>
      <w:bookmarkStart w:id="45" w:name="_Toc428713522"/>
      <w:r w:rsidRPr="005F6FAE">
        <w:rPr>
          <w:rFonts w:cstheme="minorHAnsi"/>
        </w:rPr>
        <w:t>Uwzględnienie ww. warunków w ofercie.</w:t>
      </w:r>
      <w:bookmarkEnd w:id="36"/>
      <w:bookmarkEnd w:id="37"/>
      <w:bookmarkEnd w:id="38"/>
      <w:bookmarkEnd w:id="39"/>
      <w:bookmarkEnd w:id="40"/>
      <w:bookmarkEnd w:id="41"/>
      <w:bookmarkEnd w:id="42"/>
      <w:bookmarkEnd w:id="43"/>
      <w:bookmarkEnd w:id="44"/>
      <w:bookmarkEnd w:id="45"/>
    </w:p>
    <w:p w14:paraId="562BE3FB" w14:textId="77777777" w:rsidR="00C37261" w:rsidRPr="005F6FAE" w:rsidRDefault="00C37261" w:rsidP="000C7774">
      <w:pPr>
        <w:pStyle w:val="Nagwek1"/>
        <w:spacing w:before="120" w:after="120" w:line="240" w:lineRule="auto"/>
        <w:ind w:left="431" w:hanging="431"/>
        <w:rPr>
          <w:rFonts w:asciiTheme="minorHAnsi" w:hAnsiTheme="minorHAnsi" w:cstheme="minorHAnsi"/>
          <w:szCs w:val="22"/>
        </w:rPr>
      </w:pPr>
      <w:bookmarkStart w:id="46" w:name="_Toc216678506"/>
      <w:r w:rsidRPr="005F6FAE">
        <w:rPr>
          <w:rFonts w:asciiTheme="minorHAnsi" w:hAnsiTheme="minorHAnsi" w:cstheme="minorHAnsi"/>
          <w:szCs w:val="22"/>
        </w:rPr>
        <w:t>Wymagania szczegółowe</w:t>
      </w:r>
      <w:bookmarkEnd w:id="46"/>
    </w:p>
    <w:p w14:paraId="6CD5FC8E" w14:textId="77777777" w:rsidR="004F25C4" w:rsidRPr="005F6FAE" w:rsidRDefault="004F25C4" w:rsidP="00157809">
      <w:pPr>
        <w:pStyle w:val="bezpunkw"/>
        <w:rPr>
          <w:rFonts w:cstheme="minorHAnsi"/>
        </w:rPr>
      </w:pPr>
      <w:bookmarkStart w:id="47" w:name="_Toc312846234"/>
      <w:r w:rsidRPr="005F6FAE">
        <w:rPr>
          <w:rFonts w:cstheme="minorHAnsi"/>
        </w:rPr>
        <w:t>Zakres zamówienia</w:t>
      </w:r>
      <w:bookmarkEnd w:id="47"/>
      <w:r w:rsidR="00237AA0" w:rsidRPr="005F6FAE">
        <w:rPr>
          <w:rFonts w:cstheme="minorHAnsi"/>
        </w:rPr>
        <w:t xml:space="preserve"> obejmuje:</w:t>
      </w:r>
    </w:p>
    <w:p w14:paraId="6846D4C3" w14:textId="10A14B6A" w:rsidR="00BE7D5C" w:rsidRPr="005F6FAE" w:rsidRDefault="005C1C5F" w:rsidP="00511E62">
      <w:pPr>
        <w:pStyle w:val="bezpunkw"/>
        <w:numPr>
          <w:ilvl w:val="0"/>
          <w:numId w:val="16"/>
        </w:numPr>
        <w:rPr>
          <w:rFonts w:cstheme="minorHAnsi"/>
        </w:rPr>
      </w:pPr>
      <w:r w:rsidRPr="005F6FAE">
        <w:rPr>
          <w:rFonts w:cstheme="minorHAnsi"/>
        </w:rPr>
        <w:t>Opracowanie dokumentacji projektowej (dokumentacji budowlanej</w:t>
      </w:r>
      <w:r w:rsidR="00EE1E21" w:rsidRPr="005F6FAE">
        <w:rPr>
          <w:rFonts w:cstheme="minorHAnsi"/>
        </w:rPr>
        <w:t xml:space="preserve"> i dokumentacji wykonawczej) na </w:t>
      </w:r>
      <w:r w:rsidR="00F15649">
        <w:rPr>
          <w:rFonts w:cstheme="minorHAnsi"/>
        </w:rPr>
        <w:t>budowę</w:t>
      </w:r>
      <w:r w:rsidR="00F15649" w:rsidRPr="00F15649">
        <w:rPr>
          <w:rFonts w:cstheme="minorHAnsi"/>
        </w:rPr>
        <w:t xml:space="preserve"> stacji 110kV CPK wraz z </w:t>
      </w:r>
      <w:proofErr w:type="spellStart"/>
      <w:r w:rsidR="00F15649" w:rsidRPr="00F15649">
        <w:rPr>
          <w:rFonts w:cstheme="minorHAnsi"/>
        </w:rPr>
        <w:t>odgałęzieniami</w:t>
      </w:r>
      <w:proofErr w:type="spellEnd"/>
      <w:r w:rsidR="00F15649" w:rsidRPr="00F15649">
        <w:rPr>
          <w:rFonts w:cstheme="minorHAnsi"/>
        </w:rPr>
        <w:t xml:space="preserve"> z dwutorowej linii 110kV relacji Sochaczew-Żyrardów i Teresin-Bielnik oraz z jednotorowej linii 110kV Sochaczew-Grodzisk</w:t>
      </w:r>
      <w:r w:rsidR="00EE7B91">
        <w:rPr>
          <w:rFonts w:cstheme="minorHAnsi"/>
        </w:rPr>
        <w:t>.</w:t>
      </w:r>
    </w:p>
    <w:p w14:paraId="0F16590F" w14:textId="77777777" w:rsidR="005C1C5F" w:rsidRPr="00402FBE" w:rsidRDefault="00402FBE" w:rsidP="00511E62">
      <w:pPr>
        <w:pStyle w:val="Akapitzlist"/>
        <w:numPr>
          <w:ilvl w:val="0"/>
          <w:numId w:val="16"/>
        </w:numPr>
        <w:rPr>
          <w:rFonts w:asciiTheme="minorHAnsi" w:hAnsiTheme="minorHAnsi" w:cstheme="minorHAnsi"/>
          <w:sz w:val="22"/>
          <w:szCs w:val="22"/>
        </w:rPr>
      </w:pPr>
      <w:r w:rsidRPr="00402FBE">
        <w:rPr>
          <w:rFonts w:asciiTheme="minorHAnsi" w:hAnsiTheme="minorHAnsi" w:cstheme="minorHAnsi"/>
          <w:sz w:val="22"/>
          <w:szCs w:val="22"/>
        </w:rPr>
        <w:t>Opracowanie specyfikacji technicznej wykonania i odbioru robót  budowlanych</w:t>
      </w:r>
      <w:r>
        <w:rPr>
          <w:rFonts w:asciiTheme="minorHAnsi" w:hAnsiTheme="minorHAnsi" w:cstheme="minorHAnsi"/>
          <w:sz w:val="22"/>
          <w:szCs w:val="22"/>
        </w:rPr>
        <w:t xml:space="preserve"> </w:t>
      </w:r>
      <w:r w:rsidRPr="00F15649">
        <w:rPr>
          <w:rFonts w:asciiTheme="minorHAnsi" w:hAnsiTheme="minorHAnsi" w:cstheme="minorHAnsi"/>
          <w:b/>
          <w:sz w:val="22"/>
          <w:szCs w:val="22"/>
        </w:rPr>
        <w:t>(</w:t>
      </w:r>
      <w:proofErr w:type="spellStart"/>
      <w:r w:rsidRPr="00F15649">
        <w:rPr>
          <w:rFonts w:asciiTheme="minorHAnsi" w:hAnsiTheme="minorHAnsi" w:cstheme="minorHAnsi"/>
          <w:b/>
          <w:sz w:val="22"/>
          <w:szCs w:val="22"/>
        </w:rPr>
        <w:t>STWiORB</w:t>
      </w:r>
      <w:proofErr w:type="spellEnd"/>
      <w:r w:rsidRPr="00F15649">
        <w:rPr>
          <w:rFonts w:asciiTheme="minorHAnsi" w:hAnsiTheme="minorHAnsi" w:cstheme="minorHAnsi"/>
          <w:b/>
          <w:sz w:val="22"/>
          <w:szCs w:val="22"/>
        </w:rPr>
        <w:t>)</w:t>
      </w:r>
      <w:r w:rsidRPr="00402FBE">
        <w:rPr>
          <w:rFonts w:asciiTheme="minorHAnsi" w:hAnsiTheme="minorHAnsi" w:cstheme="minorHAnsi"/>
          <w:sz w:val="22"/>
          <w:szCs w:val="22"/>
        </w:rPr>
        <w:t>, zgodnie z Rozporządzeniem Ministra Rozwoju i Technologii z dn. 20 grudnia 2021r.</w:t>
      </w:r>
    </w:p>
    <w:p w14:paraId="6763412E" w14:textId="77777777" w:rsidR="008F2014" w:rsidRPr="005F6FAE" w:rsidRDefault="00AE74BA" w:rsidP="00511E62">
      <w:pPr>
        <w:pStyle w:val="bezpunkw"/>
        <w:numPr>
          <w:ilvl w:val="0"/>
          <w:numId w:val="16"/>
        </w:numPr>
        <w:rPr>
          <w:rFonts w:cstheme="minorHAnsi"/>
        </w:rPr>
      </w:pPr>
      <w:r w:rsidRPr="00AE74BA">
        <w:rPr>
          <w:rFonts w:cstheme="minorHAnsi"/>
        </w:rPr>
        <w:t>Opracowanie kosztorysu inwestorskiego</w:t>
      </w:r>
      <w:r>
        <w:rPr>
          <w:rFonts w:cstheme="minorHAnsi"/>
        </w:rPr>
        <w:t xml:space="preserve"> i przedmiaru robót.</w:t>
      </w:r>
    </w:p>
    <w:p w14:paraId="65C87AC6" w14:textId="69D1F73F" w:rsidR="005C1C5F" w:rsidRPr="005F6FAE" w:rsidRDefault="00AE74BA" w:rsidP="00511E62">
      <w:pPr>
        <w:pStyle w:val="bezpunkw"/>
        <w:numPr>
          <w:ilvl w:val="0"/>
          <w:numId w:val="16"/>
        </w:numPr>
        <w:rPr>
          <w:rFonts w:cstheme="minorHAnsi"/>
        </w:rPr>
      </w:pPr>
      <w:r>
        <w:rPr>
          <w:rFonts w:cstheme="minorHAnsi"/>
        </w:rPr>
        <w:t>Opracowanie WRI (Wy</w:t>
      </w:r>
      <w:r w:rsidR="00B7146C">
        <w:rPr>
          <w:rFonts w:cstheme="minorHAnsi"/>
        </w:rPr>
        <w:t>tycznych Realizacji Inwestycji)</w:t>
      </w:r>
      <w:r w:rsidR="00B7146C" w:rsidRPr="00B7146C">
        <w:t xml:space="preserve"> </w:t>
      </w:r>
      <w:r w:rsidR="00F15649">
        <w:rPr>
          <w:rFonts w:cstheme="minorHAnsi"/>
        </w:rPr>
        <w:t>dla realizacji zadania.</w:t>
      </w:r>
    </w:p>
    <w:p w14:paraId="571AF404" w14:textId="176AE1C2" w:rsidR="007712C8" w:rsidRPr="005F6FAE" w:rsidRDefault="00550A82" w:rsidP="000C7774">
      <w:pPr>
        <w:pStyle w:val="Nagwek1"/>
        <w:spacing w:before="120" w:after="120" w:line="240" w:lineRule="auto"/>
        <w:ind w:left="431" w:hanging="431"/>
        <w:rPr>
          <w:rFonts w:asciiTheme="minorHAnsi" w:hAnsiTheme="minorHAnsi" w:cstheme="minorHAnsi"/>
          <w:szCs w:val="22"/>
        </w:rPr>
      </w:pPr>
      <w:bookmarkStart w:id="48" w:name="_Toc216678507"/>
      <w:r w:rsidRPr="005F6FAE">
        <w:rPr>
          <w:rFonts w:asciiTheme="minorHAnsi" w:hAnsiTheme="minorHAnsi" w:cstheme="minorHAnsi"/>
          <w:szCs w:val="22"/>
        </w:rPr>
        <w:t>Stan istniejący</w:t>
      </w:r>
      <w:r w:rsidR="00A151C5">
        <w:rPr>
          <w:rFonts w:asciiTheme="minorHAnsi" w:hAnsiTheme="minorHAnsi" w:cstheme="minorHAnsi"/>
          <w:szCs w:val="22"/>
        </w:rPr>
        <w:t xml:space="preserve"> i lokalizacja</w:t>
      </w:r>
      <w:bookmarkEnd w:id="48"/>
    </w:p>
    <w:p w14:paraId="3787726B" w14:textId="3BBB6915" w:rsidR="00A151C5" w:rsidRPr="00A151C5" w:rsidRDefault="00A151C5" w:rsidP="00E97FF6">
      <w:pPr>
        <w:pStyle w:val="bezpunkw"/>
        <w:tabs>
          <w:tab w:val="left" w:pos="709"/>
        </w:tabs>
        <w:spacing w:before="0" w:after="0"/>
        <w:rPr>
          <w:rFonts w:cstheme="minorHAnsi"/>
        </w:rPr>
      </w:pPr>
      <w:r w:rsidRPr="00A151C5">
        <w:rPr>
          <w:rFonts w:cstheme="minorHAnsi"/>
        </w:rPr>
        <w:t>Stacja będzie zlokalizowana w miejscowości Kaski przy ul. Królewskiej, gm. Baranów, powiat grodziski,  woj. mazowieckie, na części działek:  140503_2.0012.688/2, 140503_2.0012.689/2,  140503_2.0012.690/4  o powierzchni łącznej ok. 38 000 m2 .  Z budową stacji kolidują, znajdujące się na tych działkach,  odcinki napowietrznych linii 15kV Teresin-Kaski i Bielnik-Drzewicz.  Od strony wschodniej w pobliżu działki 690/4 znajduje się słupowa stacja transformatorowa 15/0,4kV Kaski 1 nr 2-0241 zasila</w:t>
      </w:r>
      <w:r>
        <w:rPr>
          <w:rFonts w:cstheme="minorHAnsi"/>
        </w:rPr>
        <w:t xml:space="preserve">na z linii 15kV Teresin- Kaski. </w:t>
      </w:r>
      <w:r w:rsidRPr="00A151C5">
        <w:rPr>
          <w:rFonts w:cstheme="minorHAnsi"/>
        </w:rPr>
        <w:t xml:space="preserve">Natomiast od strony południowej  w pobliżu w/w działek przepływa rzeka </w:t>
      </w:r>
      <w:proofErr w:type="spellStart"/>
      <w:r w:rsidRPr="00A151C5">
        <w:rPr>
          <w:rFonts w:cstheme="minorHAnsi"/>
        </w:rPr>
        <w:t>Pisia</w:t>
      </w:r>
      <w:proofErr w:type="spellEnd"/>
      <w:r w:rsidRPr="00A151C5">
        <w:rPr>
          <w:rFonts w:cstheme="minorHAnsi"/>
        </w:rPr>
        <w:t xml:space="preserve"> Gągolina.</w:t>
      </w:r>
    </w:p>
    <w:p w14:paraId="33CFE082" w14:textId="77777777" w:rsidR="00A151C5" w:rsidRDefault="00A151C5" w:rsidP="00E97FF6">
      <w:pPr>
        <w:pStyle w:val="bezpunkw"/>
        <w:tabs>
          <w:tab w:val="left" w:pos="709"/>
        </w:tabs>
        <w:spacing w:before="0" w:after="0"/>
        <w:ind w:firstLine="0"/>
        <w:rPr>
          <w:rFonts w:cstheme="minorHAnsi"/>
        </w:rPr>
      </w:pPr>
      <w:r w:rsidRPr="00A151C5">
        <w:rPr>
          <w:rFonts w:cstheme="minorHAnsi"/>
        </w:rPr>
        <w:t>Lokalizację stacji 110 CPK przedstawiono w załączniku nr 1.</w:t>
      </w:r>
    </w:p>
    <w:p w14:paraId="33C477A2" w14:textId="0C54FF39" w:rsidR="00F15649" w:rsidRDefault="00F15649" w:rsidP="00E97FF6">
      <w:pPr>
        <w:pStyle w:val="bezpunkw"/>
        <w:tabs>
          <w:tab w:val="left" w:pos="3261"/>
        </w:tabs>
        <w:rPr>
          <w:rFonts w:cstheme="minorHAnsi"/>
          <w:u w:val="single"/>
        </w:rPr>
      </w:pPr>
      <w:r w:rsidRPr="00F15649">
        <w:rPr>
          <w:rFonts w:cstheme="minorHAnsi"/>
          <w:u w:val="single"/>
        </w:rPr>
        <w:t>Wizja lokalna</w:t>
      </w:r>
    </w:p>
    <w:p w14:paraId="1F3C2ECF" w14:textId="296891E6" w:rsidR="00A151C5" w:rsidRPr="00A151C5" w:rsidRDefault="00F15649" w:rsidP="00E97FF6">
      <w:pPr>
        <w:pStyle w:val="bezpunkw"/>
        <w:tabs>
          <w:tab w:val="left" w:pos="3261"/>
        </w:tabs>
        <w:rPr>
          <w:rFonts w:cstheme="minorHAnsi"/>
        </w:rPr>
      </w:pPr>
      <w:r w:rsidRPr="00F15649">
        <w:rPr>
          <w:rFonts w:cstheme="minorHAnsi"/>
        </w:rPr>
        <w:lastRenderedPageBreak/>
        <w:t>Wskazane jest by Wykonawcy przeprowadzili wizję lokalną terenu, na którym będzie budowana stacja 110kV CPK w celu zapoznania się z uwarunkowaniami terenowymi mogącymi mieć wpływ na jej koncepcję.</w:t>
      </w:r>
    </w:p>
    <w:p w14:paraId="46BA7F28" w14:textId="77777777" w:rsidR="00386E31" w:rsidRPr="005F6FAE" w:rsidRDefault="00386E31" w:rsidP="00407A77">
      <w:pPr>
        <w:pStyle w:val="Nagwek2"/>
        <w:rPr>
          <w:rFonts w:asciiTheme="minorHAnsi" w:hAnsiTheme="minorHAnsi" w:cstheme="minorHAnsi"/>
          <w:i/>
          <w:color w:val="auto"/>
        </w:rPr>
      </w:pPr>
      <w:bookmarkStart w:id="49" w:name="_Toc216678508"/>
      <w:r w:rsidRPr="005F6FAE">
        <w:rPr>
          <w:rFonts w:asciiTheme="minorHAnsi" w:hAnsiTheme="minorHAnsi" w:cstheme="minorHAnsi"/>
          <w:i/>
          <w:color w:val="auto"/>
        </w:rPr>
        <w:t xml:space="preserve">Stan własności </w:t>
      </w:r>
      <w:r w:rsidR="004B39E1" w:rsidRPr="005F6FAE">
        <w:rPr>
          <w:rFonts w:asciiTheme="minorHAnsi" w:hAnsiTheme="minorHAnsi" w:cstheme="minorHAnsi"/>
          <w:i/>
          <w:color w:val="auto"/>
        </w:rPr>
        <w:t>gruntów</w:t>
      </w:r>
      <w:bookmarkEnd w:id="49"/>
    </w:p>
    <w:p w14:paraId="7BACEA22" w14:textId="1D87F47E" w:rsidR="00386E31" w:rsidRPr="005F6FAE" w:rsidRDefault="00386E31" w:rsidP="00AF62A0">
      <w:pPr>
        <w:pStyle w:val="bezpunkw"/>
        <w:spacing w:before="0" w:after="0"/>
        <w:rPr>
          <w:rFonts w:cstheme="minorHAnsi"/>
        </w:rPr>
      </w:pPr>
      <w:r w:rsidRPr="005F6FAE">
        <w:rPr>
          <w:rFonts w:cstheme="minorHAnsi"/>
        </w:rPr>
        <w:t xml:space="preserve">Stan własności gruntów pod </w:t>
      </w:r>
      <w:r w:rsidR="00F15649">
        <w:rPr>
          <w:rFonts w:cstheme="minorHAnsi"/>
        </w:rPr>
        <w:t>projektowane linie</w:t>
      </w:r>
      <w:r w:rsidRPr="005F6FAE">
        <w:rPr>
          <w:rFonts w:cstheme="minorHAnsi"/>
        </w:rPr>
        <w:t xml:space="preserve"> 110</w:t>
      </w:r>
      <w:r w:rsidR="00AF62A0" w:rsidRPr="005F6FAE">
        <w:rPr>
          <w:rFonts w:cstheme="minorHAnsi"/>
        </w:rPr>
        <w:t xml:space="preserve"> </w:t>
      </w:r>
      <w:proofErr w:type="spellStart"/>
      <w:r w:rsidRPr="005F6FAE">
        <w:rPr>
          <w:rFonts w:cstheme="minorHAnsi"/>
        </w:rPr>
        <w:t>kV</w:t>
      </w:r>
      <w:proofErr w:type="spellEnd"/>
      <w:r w:rsidRPr="005F6FAE">
        <w:rPr>
          <w:rFonts w:cstheme="minorHAnsi"/>
        </w:rPr>
        <w:t xml:space="preserve"> nie jest uregulowany. </w:t>
      </w:r>
      <w:r w:rsidR="003B4F81" w:rsidRPr="005F6FAE">
        <w:rPr>
          <w:rFonts w:cstheme="minorHAnsi"/>
        </w:rPr>
        <w:t xml:space="preserve">PGE Dystrybucja S.A. Oddział Łódź </w:t>
      </w:r>
      <w:r w:rsidR="00F15649">
        <w:rPr>
          <w:rFonts w:cstheme="minorHAnsi"/>
        </w:rPr>
        <w:t>jest w trakcie pozyskiwania gruntu pod budowę stacji 110kV</w:t>
      </w:r>
      <w:r w:rsidR="003B4F81" w:rsidRPr="005F6FAE">
        <w:rPr>
          <w:rFonts w:cstheme="minorHAnsi"/>
        </w:rPr>
        <w:t>.</w:t>
      </w:r>
    </w:p>
    <w:p w14:paraId="339F1AEE" w14:textId="77777777" w:rsidR="000D113C" w:rsidRPr="005F6FAE" w:rsidRDefault="00AC7053" w:rsidP="000C7774">
      <w:pPr>
        <w:pStyle w:val="Nagwek1"/>
        <w:spacing w:before="120" w:after="120" w:line="240" w:lineRule="auto"/>
        <w:ind w:left="431" w:hanging="431"/>
        <w:rPr>
          <w:rFonts w:asciiTheme="minorHAnsi" w:hAnsiTheme="minorHAnsi" w:cstheme="minorHAnsi"/>
          <w:szCs w:val="22"/>
        </w:rPr>
      </w:pPr>
      <w:bookmarkStart w:id="50" w:name="_Toc216678509"/>
      <w:r w:rsidRPr="005F6FAE">
        <w:rPr>
          <w:rFonts w:asciiTheme="minorHAnsi" w:hAnsiTheme="minorHAnsi" w:cstheme="minorHAnsi"/>
          <w:szCs w:val="22"/>
        </w:rPr>
        <w:t>Stan projektowany</w:t>
      </w:r>
      <w:bookmarkEnd w:id="50"/>
    </w:p>
    <w:p w14:paraId="79D8EA9C" w14:textId="333D065E" w:rsidR="00F54D88" w:rsidRDefault="00F54D88" w:rsidP="00157809">
      <w:pPr>
        <w:rPr>
          <w:rFonts w:asciiTheme="minorHAnsi" w:hAnsiTheme="minorHAnsi" w:cstheme="minorHAnsi"/>
          <w:sz w:val="22"/>
          <w:szCs w:val="22"/>
        </w:rPr>
      </w:pPr>
      <w:r w:rsidRPr="005F6FAE">
        <w:rPr>
          <w:rFonts w:asciiTheme="minorHAnsi" w:hAnsiTheme="minorHAnsi" w:cstheme="minorHAnsi"/>
          <w:sz w:val="22"/>
          <w:szCs w:val="22"/>
        </w:rPr>
        <w:t>Zadanie obejmuje:</w:t>
      </w:r>
    </w:p>
    <w:p w14:paraId="35D9B824"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u w:val="single"/>
        </w:rPr>
      </w:pPr>
      <w:r w:rsidRPr="00E97FF6">
        <w:rPr>
          <w:rFonts w:ascii="Calibri" w:hAnsi="Calibri"/>
          <w:sz w:val="22"/>
          <w:szCs w:val="22"/>
          <w:u w:val="single"/>
        </w:rPr>
        <w:t>A. Budowę stacji 110kV CPK, w tym:</w:t>
      </w:r>
    </w:p>
    <w:p w14:paraId="7C7A0BE6"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sz w:val="22"/>
          <w:szCs w:val="22"/>
        </w:rPr>
      </w:pPr>
      <w:r w:rsidRPr="00E97FF6">
        <w:rPr>
          <w:rFonts w:ascii="Calibri" w:hAnsi="Calibri"/>
          <w:sz w:val="22"/>
          <w:szCs w:val="22"/>
        </w:rPr>
        <w:t>budynek stacyjny,</w:t>
      </w:r>
    </w:p>
    <w:p w14:paraId="795CDCA7" w14:textId="0D96929C" w:rsidR="003B5522"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sz w:val="22"/>
          <w:szCs w:val="22"/>
        </w:rPr>
      </w:pPr>
      <w:r w:rsidRPr="00E97FF6">
        <w:rPr>
          <w:rFonts w:ascii="Calibri" w:hAnsi="Calibri"/>
          <w:sz w:val="22"/>
          <w:szCs w:val="22"/>
        </w:rPr>
        <w:t xml:space="preserve">dwusystemowa rozdzielnia 110 </w:t>
      </w:r>
      <w:proofErr w:type="spellStart"/>
      <w:r w:rsidRPr="00E97FF6">
        <w:rPr>
          <w:rFonts w:ascii="Calibri" w:hAnsi="Calibri"/>
          <w:sz w:val="22"/>
          <w:szCs w:val="22"/>
        </w:rPr>
        <w:t>kV</w:t>
      </w:r>
      <w:proofErr w:type="spellEnd"/>
      <w:r w:rsidR="003B5522">
        <w:rPr>
          <w:rFonts w:ascii="Calibri" w:hAnsi="Calibri"/>
          <w:sz w:val="22"/>
          <w:szCs w:val="22"/>
        </w:rPr>
        <w:t xml:space="preserve"> złożona z:</w:t>
      </w:r>
    </w:p>
    <w:p w14:paraId="6232553E"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dwóch systemów sekcjonowanych szyn zbiorczych,</w:t>
      </w:r>
    </w:p>
    <w:p w14:paraId="3FFD25E2"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dziesięciu pól liniowych (Grodzisk, Żyrardów, Sochaczew tor 1, Teresin, Bielnik, Sochaczew tor 2, CPK2, CPK4, 2 x pole rezerwowe ),</w:t>
      </w:r>
    </w:p>
    <w:p w14:paraId="6DA31A54"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pola transformatorowe TR1 i TR2,</w:t>
      </w:r>
    </w:p>
    <w:p w14:paraId="2535F071"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pola sprz</w:t>
      </w:r>
      <w:r w:rsidRPr="003B5522">
        <w:rPr>
          <w:rFonts w:asciiTheme="minorHAnsi" w:hAnsiTheme="minorHAnsi" w:cstheme="minorHAnsi"/>
          <w:sz w:val="22"/>
          <w:szCs w:val="22"/>
        </w:rPr>
        <w:t>ę</w:t>
      </w:r>
      <w:r w:rsidRPr="00DF779F">
        <w:rPr>
          <w:rFonts w:asciiTheme="minorHAnsi" w:hAnsiTheme="minorHAnsi" w:cstheme="minorHAnsi"/>
          <w:sz w:val="22"/>
          <w:szCs w:val="22"/>
        </w:rPr>
        <w:t>gła poprzeczno-podłużnego,</w:t>
      </w:r>
    </w:p>
    <w:p w14:paraId="2155F67F"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szyny obejściowej</w:t>
      </w:r>
    </w:p>
    <w:p w14:paraId="79DE18A3" w14:textId="77777777" w:rsidR="003B5522" w:rsidRPr="00DF779F" w:rsidRDefault="003B5522" w:rsidP="00B628F4">
      <w:pPr>
        <w:widowControl w:val="0"/>
        <w:numPr>
          <w:ilvl w:val="0"/>
          <w:numId w:val="65"/>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 xml:space="preserve">pozostawienie miejsca dla 4 pól rezerwowych (patrz pkt. 6 </w:t>
      </w:r>
      <w:proofErr w:type="spellStart"/>
      <w:r w:rsidRPr="00DF779F">
        <w:rPr>
          <w:rFonts w:asciiTheme="minorHAnsi" w:hAnsiTheme="minorHAnsi" w:cstheme="minorHAnsi"/>
          <w:sz w:val="22"/>
          <w:szCs w:val="22"/>
        </w:rPr>
        <w:t>A.drugi</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teryt</w:t>
      </w:r>
      <w:proofErr w:type="spellEnd"/>
      <w:r w:rsidRPr="00DF779F">
        <w:rPr>
          <w:rFonts w:asciiTheme="minorHAnsi" w:hAnsiTheme="minorHAnsi" w:cstheme="minorHAnsi"/>
          <w:sz w:val="22"/>
          <w:szCs w:val="22"/>
        </w:rPr>
        <w:t>.)</w:t>
      </w:r>
    </w:p>
    <w:p w14:paraId="62CE1ADC"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bCs/>
          <w:sz w:val="22"/>
          <w:szCs w:val="22"/>
        </w:rPr>
        <w:t>budowa urządzeń zasilania podstawowego i rezerwowego dla urządzeń potrzeb własnych 400/230V AC, łączności, telemechaniki i nadzoru,</w:t>
      </w:r>
    </w:p>
    <w:p w14:paraId="17E9542C"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bCs/>
          <w:sz w:val="22"/>
          <w:szCs w:val="22"/>
        </w:rPr>
        <w:t>pomieszczenia dla dwóch baterii akumulatorów 220V DC wraz z wyposażeniem,</w:t>
      </w:r>
    </w:p>
    <w:p w14:paraId="6D4EE530"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bCs/>
          <w:sz w:val="22"/>
          <w:szCs w:val="22"/>
        </w:rPr>
        <w:t>rozdzielnice: AC i DC,</w:t>
      </w:r>
    </w:p>
    <w:p w14:paraId="06BB4E0A"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obwody wtórne, automatyki, telemechanikę, łączność itd.</w:t>
      </w:r>
    </w:p>
    <w:p w14:paraId="5AAD82D0"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ogrodzenie stacji z bramą i furtką,</w:t>
      </w:r>
    </w:p>
    <w:p w14:paraId="4D8053B5"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układ drogowy stacji,</w:t>
      </w:r>
    </w:p>
    <w:p w14:paraId="4F18210B"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system ochrony przed włamaniem i napadem,</w:t>
      </w:r>
    </w:p>
    <w:p w14:paraId="6BB8781D"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pozostałe niezbędne elementy stacji,</w:t>
      </w:r>
    </w:p>
    <w:p w14:paraId="1EE4D790" w14:textId="77777777" w:rsidR="003B5522" w:rsidRPr="00DF779F" w:rsidRDefault="003B5522" w:rsidP="003B5522">
      <w:pPr>
        <w:widowControl w:val="0"/>
        <w:numPr>
          <w:ilvl w:val="0"/>
          <w:numId w:val="23"/>
        </w:numPr>
        <w:autoSpaceDE w:val="0"/>
        <w:autoSpaceDN w:val="0"/>
        <w:adjustRightInd w:val="0"/>
        <w:spacing w:before="0" w:after="0"/>
        <w:ind w:left="680" w:hanging="340"/>
        <w:rPr>
          <w:rFonts w:asciiTheme="minorHAnsi" w:hAnsiTheme="minorHAnsi" w:cstheme="minorHAnsi"/>
          <w:sz w:val="22"/>
          <w:szCs w:val="22"/>
        </w:rPr>
      </w:pPr>
      <w:r w:rsidRPr="00DF779F">
        <w:rPr>
          <w:rFonts w:asciiTheme="minorHAnsi" w:hAnsiTheme="minorHAnsi" w:cstheme="minorHAnsi"/>
          <w:sz w:val="22"/>
          <w:szCs w:val="22"/>
        </w:rPr>
        <w:t>zagospodarowanie terenu.</w:t>
      </w:r>
    </w:p>
    <w:p w14:paraId="5EE1CCB8" w14:textId="15CDA655" w:rsidR="00E97FF6" w:rsidRPr="00E97FF6" w:rsidRDefault="00E97FF6" w:rsidP="00E97FF6">
      <w:pPr>
        <w:ind w:left="0" w:firstLine="340"/>
        <w:rPr>
          <w:rFonts w:asciiTheme="minorHAnsi" w:hAnsiTheme="minorHAnsi" w:cstheme="minorHAnsi"/>
          <w:sz w:val="22"/>
          <w:szCs w:val="22"/>
        </w:rPr>
      </w:pPr>
      <w:r w:rsidRPr="00E97FF6">
        <w:rPr>
          <w:rFonts w:asciiTheme="minorHAnsi" w:hAnsiTheme="minorHAnsi" w:cstheme="minorHAnsi"/>
          <w:sz w:val="22"/>
          <w:szCs w:val="22"/>
        </w:rPr>
        <w:t xml:space="preserve">Zasilanie podstawowe dla potrzeb własnych stacji wykonać z transformatora potrzeb własnych 15/0,4 </w:t>
      </w:r>
      <w:proofErr w:type="spellStart"/>
      <w:r w:rsidRPr="00E97FF6">
        <w:rPr>
          <w:rFonts w:asciiTheme="minorHAnsi" w:hAnsiTheme="minorHAnsi" w:cstheme="minorHAnsi"/>
          <w:sz w:val="22"/>
          <w:szCs w:val="22"/>
        </w:rPr>
        <w:t>kV</w:t>
      </w:r>
      <w:proofErr w:type="spellEnd"/>
      <w:r w:rsidRPr="00E97FF6">
        <w:rPr>
          <w:rFonts w:asciiTheme="minorHAnsi" w:hAnsiTheme="minorHAnsi" w:cstheme="minorHAnsi"/>
          <w:sz w:val="22"/>
          <w:szCs w:val="22"/>
        </w:rPr>
        <w:t xml:space="preserve"> zasilanego z linii terenowej 15kV ( np. linii 15kV Bielnik-Drzewicz) , natomiast zasilanie rezerwowe wykonać z istniejącej stacji 15/0,4kV zasilanej z linii terenowej przyłączonej do innej stacji 110/15kV, niż przy zasilaniu podstawowym  ( np. stacji 15/0,4kV Kaski 1 nr 2-0241 zasilanej z linii 15kV Teresin- Kaski).</w:t>
      </w:r>
    </w:p>
    <w:p w14:paraId="1777A648" w14:textId="77777777" w:rsidR="00E97FF6" w:rsidRPr="00E97FF6" w:rsidRDefault="00E97FF6" w:rsidP="00E97FF6">
      <w:pPr>
        <w:widowControl w:val="0"/>
        <w:autoSpaceDE w:val="0"/>
        <w:autoSpaceDN w:val="0"/>
        <w:adjustRightInd w:val="0"/>
        <w:spacing w:before="0" w:after="0" w:line="276" w:lineRule="auto"/>
        <w:ind w:left="680" w:firstLine="0"/>
        <w:rPr>
          <w:rFonts w:ascii="Calibri" w:hAnsi="Calibri"/>
          <w:sz w:val="22"/>
          <w:szCs w:val="22"/>
        </w:rPr>
      </w:pPr>
      <w:r w:rsidRPr="00E97FF6">
        <w:rPr>
          <w:rFonts w:ascii="Calibri" w:hAnsi="Calibri"/>
          <w:sz w:val="22"/>
          <w:szCs w:val="22"/>
        </w:rPr>
        <w:t>Plan zagospodarowania terenu stacji ma uwzględniać :</w:t>
      </w:r>
    </w:p>
    <w:p w14:paraId="6432E029"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cs="Calibri"/>
          <w:sz w:val="22"/>
          <w:szCs w:val="22"/>
        </w:rPr>
      </w:pPr>
      <w:r w:rsidRPr="00E97FF6">
        <w:rPr>
          <w:rFonts w:ascii="Calibri" w:hAnsi="Calibri" w:cs="Calibri"/>
          <w:sz w:val="22"/>
          <w:szCs w:val="22"/>
        </w:rPr>
        <w:t xml:space="preserve">rezerwę miejsca na rozbudowę rozdzielni 110kV do 16 pól liniowych i 2 pól transformatorowych, </w:t>
      </w:r>
    </w:p>
    <w:p w14:paraId="0ECE7417"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cs="Calibri"/>
          <w:sz w:val="22"/>
          <w:szCs w:val="22"/>
        </w:rPr>
      </w:pPr>
      <w:r w:rsidRPr="00E97FF6">
        <w:rPr>
          <w:rFonts w:ascii="Calibri" w:hAnsi="Calibri" w:cs="Calibri"/>
          <w:sz w:val="22"/>
          <w:szCs w:val="22"/>
        </w:rPr>
        <w:t xml:space="preserve">rezerwę miejsca na budowę 2 </w:t>
      </w:r>
      <w:proofErr w:type="spellStart"/>
      <w:r w:rsidRPr="00E97FF6">
        <w:rPr>
          <w:rFonts w:ascii="Calibri" w:hAnsi="Calibri" w:cs="Calibri"/>
          <w:sz w:val="22"/>
          <w:szCs w:val="22"/>
        </w:rPr>
        <w:t>ekostanowisk</w:t>
      </w:r>
      <w:proofErr w:type="spellEnd"/>
      <w:r w:rsidRPr="00E97FF6">
        <w:rPr>
          <w:rFonts w:ascii="Calibri" w:hAnsi="Calibri" w:cs="Calibri"/>
          <w:sz w:val="22"/>
          <w:szCs w:val="22"/>
        </w:rPr>
        <w:t xml:space="preserve"> transformatorów 40MVA,</w:t>
      </w:r>
    </w:p>
    <w:p w14:paraId="21485F1D"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sz w:val="22"/>
          <w:szCs w:val="22"/>
        </w:rPr>
      </w:pPr>
      <w:r w:rsidRPr="00E97FF6">
        <w:rPr>
          <w:rFonts w:ascii="Calibri" w:hAnsi="Calibri"/>
          <w:sz w:val="22"/>
          <w:szCs w:val="22"/>
        </w:rPr>
        <w:t>rezerwa miejsca na rozbudowę budynku stacyjnego o pomieszczenie rozdzielni 15 </w:t>
      </w:r>
      <w:proofErr w:type="spellStart"/>
      <w:r w:rsidRPr="00E97FF6">
        <w:rPr>
          <w:rFonts w:ascii="Calibri" w:hAnsi="Calibri"/>
          <w:sz w:val="22"/>
          <w:szCs w:val="22"/>
        </w:rPr>
        <w:t>kV</w:t>
      </w:r>
      <w:proofErr w:type="spellEnd"/>
      <w:r w:rsidRPr="00E97FF6">
        <w:rPr>
          <w:rFonts w:ascii="Calibri" w:hAnsi="Calibri"/>
          <w:sz w:val="22"/>
          <w:szCs w:val="22"/>
        </w:rPr>
        <w:t xml:space="preserve"> (minimum 24 pola z miejscem na rozbudowę do 36),</w:t>
      </w:r>
    </w:p>
    <w:p w14:paraId="70759D52"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sz w:val="22"/>
          <w:szCs w:val="22"/>
        </w:rPr>
      </w:pPr>
      <w:r w:rsidRPr="00E97FF6">
        <w:rPr>
          <w:rFonts w:ascii="Calibri" w:hAnsi="Calibri"/>
          <w:sz w:val="22"/>
          <w:szCs w:val="22"/>
        </w:rPr>
        <w:t>pomieszczenie transformatorów potrzeb własnych i kompensacji wraz z wyposażeniem,</w:t>
      </w:r>
    </w:p>
    <w:p w14:paraId="6B213F0F" w14:textId="77777777" w:rsidR="00E97FF6" w:rsidRPr="00E97FF6" w:rsidRDefault="00E97FF6" w:rsidP="00511E62">
      <w:pPr>
        <w:widowControl w:val="0"/>
        <w:numPr>
          <w:ilvl w:val="0"/>
          <w:numId w:val="23"/>
        </w:numPr>
        <w:autoSpaceDE w:val="0"/>
        <w:autoSpaceDN w:val="0"/>
        <w:adjustRightInd w:val="0"/>
        <w:spacing w:before="0" w:after="0" w:line="276" w:lineRule="auto"/>
        <w:ind w:left="680" w:hanging="340"/>
        <w:jc w:val="left"/>
        <w:rPr>
          <w:rFonts w:ascii="Calibri" w:hAnsi="Calibri"/>
          <w:sz w:val="22"/>
          <w:szCs w:val="22"/>
        </w:rPr>
      </w:pPr>
      <w:r w:rsidRPr="00E97FF6">
        <w:rPr>
          <w:rFonts w:ascii="Calibri" w:hAnsi="Calibri"/>
          <w:sz w:val="22"/>
          <w:szCs w:val="22"/>
        </w:rPr>
        <w:t>r</w:t>
      </w:r>
      <w:r w:rsidRPr="00E97FF6">
        <w:rPr>
          <w:rFonts w:ascii="Calibri" w:hAnsi="Calibri" w:cs="Calibri"/>
          <w:bCs/>
          <w:sz w:val="22"/>
          <w:szCs w:val="22"/>
        </w:rPr>
        <w:t>ezerwę miejsca na pomieszczenie baterii kondensatorów wraz z wyposażeniem.</w:t>
      </w:r>
      <w:r w:rsidRPr="00E97FF6">
        <w:rPr>
          <w:rFonts w:ascii="Calibri" w:hAnsi="Calibri"/>
          <w:sz w:val="22"/>
          <w:szCs w:val="22"/>
        </w:rPr>
        <w:t xml:space="preserve"> </w:t>
      </w:r>
    </w:p>
    <w:p w14:paraId="757D0E6B"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rPr>
      </w:pPr>
    </w:p>
    <w:p w14:paraId="599F1555" w14:textId="77777777" w:rsidR="00E97FF6" w:rsidRPr="00E97FF6" w:rsidRDefault="00E97FF6" w:rsidP="00E97FF6">
      <w:pPr>
        <w:widowControl w:val="0"/>
        <w:autoSpaceDE w:val="0"/>
        <w:autoSpaceDN w:val="0"/>
        <w:adjustRightInd w:val="0"/>
        <w:spacing w:before="0" w:after="0" w:line="276" w:lineRule="auto"/>
        <w:ind w:left="0" w:firstLine="340"/>
        <w:rPr>
          <w:rFonts w:ascii="Calibri" w:hAnsi="Calibri" w:cs="Calibri"/>
          <w:i/>
          <w:sz w:val="22"/>
          <w:szCs w:val="22"/>
        </w:rPr>
      </w:pPr>
      <w:r w:rsidRPr="00E97FF6">
        <w:rPr>
          <w:rFonts w:ascii="Calibri" w:hAnsi="Calibri"/>
          <w:sz w:val="22"/>
          <w:szCs w:val="22"/>
        </w:rPr>
        <w:t>Budowa stacji 110kV CPK jest przedsięwzięciem mogącym potencjalnie znacząco oddziaływać na środowisko (</w:t>
      </w:r>
      <w:r w:rsidRPr="00E97FF6">
        <w:rPr>
          <w:rFonts w:ascii="Calibri" w:hAnsi="Calibri" w:cs="Calibri"/>
          <w:i/>
          <w:sz w:val="22"/>
          <w:szCs w:val="22"/>
        </w:rPr>
        <w:t xml:space="preserve">Rozporządzenie Rady Ministrów z dnia 9 listopada 2010r. w sprawie przedsięwzięć mogących znacząco oddziaływać na środowisko; </w:t>
      </w:r>
      <w:proofErr w:type="spellStart"/>
      <w:r w:rsidRPr="00E97FF6">
        <w:rPr>
          <w:rFonts w:ascii="Calibri" w:hAnsi="Calibri" w:cs="Calibri"/>
          <w:i/>
          <w:sz w:val="22"/>
          <w:szCs w:val="22"/>
        </w:rPr>
        <w:t>t.j</w:t>
      </w:r>
      <w:proofErr w:type="spellEnd"/>
      <w:r w:rsidRPr="00E97FF6">
        <w:rPr>
          <w:rFonts w:ascii="Calibri" w:hAnsi="Calibri" w:cs="Calibri"/>
          <w:i/>
          <w:sz w:val="22"/>
          <w:szCs w:val="22"/>
        </w:rPr>
        <w:t>. Dz.U. 2006, poz. 71).</w:t>
      </w:r>
    </w:p>
    <w:p w14:paraId="47023E76"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cs="Calibri"/>
          <w:sz w:val="22"/>
          <w:szCs w:val="22"/>
        </w:rPr>
      </w:pPr>
    </w:p>
    <w:p w14:paraId="3C2313E0" w14:textId="70A341CF"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rPr>
      </w:pPr>
      <w:r w:rsidRPr="00E97FF6">
        <w:rPr>
          <w:rFonts w:ascii="Calibri" w:hAnsi="Calibri"/>
          <w:sz w:val="22"/>
          <w:szCs w:val="22"/>
          <w:u w:val="single"/>
        </w:rPr>
        <w:lastRenderedPageBreak/>
        <w:t xml:space="preserve">B. Budowę 6 linii kablowych 110kV wraz  z kablem światłowodowym do projektowanej stacji.   </w:t>
      </w:r>
    </w:p>
    <w:p w14:paraId="28BE5E81" w14:textId="77777777" w:rsidR="00E97FF6" w:rsidRPr="00E97FF6" w:rsidRDefault="00E97FF6" w:rsidP="00E97FF6">
      <w:pPr>
        <w:widowControl w:val="0"/>
        <w:autoSpaceDE w:val="0"/>
        <w:autoSpaceDN w:val="0"/>
        <w:adjustRightInd w:val="0"/>
        <w:spacing w:before="0" w:after="0" w:line="276" w:lineRule="auto"/>
        <w:ind w:left="0" w:firstLine="708"/>
        <w:rPr>
          <w:rFonts w:ascii="Calibri" w:hAnsi="Calibri" w:cs="Calibri"/>
          <w:sz w:val="22"/>
          <w:szCs w:val="22"/>
        </w:rPr>
      </w:pPr>
      <w:r w:rsidRPr="00E97FF6">
        <w:rPr>
          <w:rFonts w:ascii="Calibri" w:hAnsi="Calibri" w:cs="Calibri"/>
          <w:sz w:val="22"/>
          <w:szCs w:val="22"/>
        </w:rPr>
        <w:t>Stacja będzie zasilana 6 liniami kablowymi 110kV powstałymi z rozcięcia:</w:t>
      </w:r>
    </w:p>
    <w:p w14:paraId="2A3C4472" w14:textId="77777777" w:rsidR="00E97FF6" w:rsidRPr="00E97FF6" w:rsidRDefault="00E97FF6" w:rsidP="00511E62">
      <w:pPr>
        <w:widowControl w:val="0"/>
        <w:numPr>
          <w:ilvl w:val="0"/>
          <w:numId w:val="24"/>
        </w:numPr>
        <w:autoSpaceDE w:val="0"/>
        <w:autoSpaceDN w:val="0"/>
        <w:adjustRightInd w:val="0"/>
        <w:spacing w:before="0" w:after="0" w:line="276" w:lineRule="auto"/>
        <w:jc w:val="left"/>
        <w:rPr>
          <w:rFonts w:ascii="Calibri" w:hAnsi="Calibri" w:cs="Calibri"/>
          <w:sz w:val="22"/>
          <w:szCs w:val="22"/>
        </w:rPr>
      </w:pPr>
      <w:r w:rsidRPr="00E97FF6">
        <w:rPr>
          <w:rFonts w:ascii="Calibri" w:hAnsi="Calibri" w:cs="Calibri"/>
          <w:sz w:val="22"/>
          <w:szCs w:val="22"/>
        </w:rPr>
        <w:t>przebudowanej dwutorowej napowietrznej linii 110kV relacji Sochaczew-Żyrardów i Teresin-Bielnik – na słupach 67 i 67a i stworzenia nowych ciągów: Sochaczew1-„CPK”, Teresin-„CPK”, „CPK”-Żyrardów i „CPK”-Bielnik,</w:t>
      </w:r>
    </w:p>
    <w:p w14:paraId="651A8B20" w14:textId="77777777" w:rsidR="00E97FF6" w:rsidRPr="00E97FF6" w:rsidRDefault="00E97FF6" w:rsidP="00511E62">
      <w:pPr>
        <w:widowControl w:val="0"/>
        <w:numPr>
          <w:ilvl w:val="0"/>
          <w:numId w:val="24"/>
        </w:numPr>
        <w:autoSpaceDE w:val="0"/>
        <w:autoSpaceDN w:val="0"/>
        <w:adjustRightInd w:val="0"/>
        <w:spacing w:before="0" w:after="0" w:line="276" w:lineRule="auto"/>
        <w:jc w:val="left"/>
        <w:rPr>
          <w:rFonts w:ascii="Calibri" w:hAnsi="Calibri" w:cs="Calibri"/>
          <w:sz w:val="22"/>
          <w:szCs w:val="22"/>
        </w:rPr>
      </w:pPr>
      <w:r w:rsidRPr="00E97FF6">
        <w:rPr>
          <w:rFonts w:ascii="Calibri" w:hAnsi="Calibri" w:cs="Calibri"/>
          <w:sz w:val="22"/>
          <w:szCs w:val="22"/>
        </w:rPr>
        <w:t>istniejącej  jednotorowej napowietrznej linii 110kV Sochaczew-Grodzisk- na słupie nr 67</w:t>
      </w:r>
      <w:r w:rsidRPr="00E97FF6">
        <w:rPr>
          <w:rFonts w:ascii="Calibri" w:hAnsi="Calibri" w:cs="Calibri"/>
          <w:spacing w:val="116"/>
          <w:sz w:val="24"/>
        </w:rPr>
        <w:t xml:space="preserve"> </w:t>
      </w:r>
      <w:r w:rsidRPr="00E97FF6">
        <w:rPr>
          <w:rFonts w:ascii="Calibri" w:hAnsi="Calibri" w:cs="Calibri"/>
          <w:sz w:val="22"/>
          <w:szCs w:val="22"/>
        </w:rPr>
        <w:t>i stworzenia nowych ciągów: Sochaczew2-„CPK” i „CPK”-Grodzisk.</w:t>
      </w:r>
    </w:p>
    <w:p w14:paraId="46582FEE"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cs="Calibri"/>
          <w:sz w:val="22"/>
          <w:szCs w:val="22"/>
        </w:rPr>
      </w:pPr>
    </w:p>
    <w:p w14:paraId="4033871E"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cs="Calibri"/>
          <w:sz w:val="22"/>
          <w:szCs w:val="22"/>
        </w:rPr>
      </w:pPr>
      <w:r w:rsidRPr="00E97FF6">
        <w:rPr>
          <w:rFonts w:ascii="Calibri" w:hAnsi="Calibri" w:cs="Calibri"/>
          <w:sz w:val="22"/>
          <w:szCs w:val="22"/>
        </w:rPr>
        <w:t xml:space="preserve">Budowa Linii kablowych 110kV zgodnie z WBSE- tom1A. W budynku stacyjnym należy zabudować system nadzoru temperatury DTS monitorujący stan obciążenia linii kablowych. Wizualizacja działania systemu DTS poprzez serwer wizualizacji usytuowany w Łodzi na ul. </w:t>
      </w:r>
      <w:proofErr w:type="spellStart"/>
      <w:r w:rsidRPr="00E97FF6">
        <w:rPr>
          <w:rFonts w:ascii="Calibri" w:hAnsi="Calibri" w:cs="Calibri"/>
          <w:sz w:val="22"/>
          <w:szCs w:val="22"/>
        </w:rPr>
        <w:t>Rokicińskiej</w:t>
      </w:r>
      <w:proofErr w:type="spellEnd"/>
      <w:r w:rsidRPr="00E97FF6">
        <w:rPr>
          <w:rFonts w:ascii="Calibri" w:hAnsi="Calibri" w:cs="Calibri"/>
          <w:sz w:val="22"/>
          <w:szCs w:val="22"/>
        </w:rPr>
        <w:t>.</w:t>
      </w:r>
    </w:p>
    <w:p w14:paraId="13D35295"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cs="Calibri"/>
          <w:sz w:val="22"/>
          <w:szCs w:val="22"/>
        </w:rPr>
      </w:pPr>
      <w:r w:rsidRPr="00E97FF6">
        <w:rPr>
          <w:rFonts w:ascii="Calibri" w:hAnsi="Calibri" w:cs="Calibri"/>
          <w:sz w:val="22"/>
          <w:szCs w:val="22"/>
        </w:rPr>
        <w:t>Propozycje trasy linii kablowych 110kV zasilających stację 110kV CPK przedstawiono w załączniku nr 3.</w:t>
      </w:r>
    </w:p>
    <w:p w14:paraId="2D13D8F3" w14:textId="77777777" w:rsidR="00E97FF6" w:rsidRPr="00E97FF6" w:rsidRDefault="00E97FF6" w:rsidP="00E97FF6">
      <w:pPr>
        <w:widowControl w:val="0"/>
        <w:autoSpaceDE w:val="0"/>
        <w:autoSpaceDN w:val="0"/>
        <w:adjustRightInd w:val="0"/>
        <w:spacing w:before="0" w:after="0" w:line="276" w:lineRule="auto"/>
        <w:ind w:left="0" w:firstLine="708"/>
        <w:rPr>
          <w:rFonts w:ascii="Calibri" w:hAnsi="Calibri" w:cs="Calibri"/>
          <w:sz w:val="22"/>
          <w:szCs w:val="22"/>
        </w:rPr>
      </w:pPr>
    </w:p>
    <w:p w14:paraId="6D76AC4E"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u w:val="single"/>
        </w:rPr>
      </w:pPr>
      <w:r w:rsidRPr="00E97FF6">
        <w:rPr>
          <w:rFonts w:ascii="Calibri" w:hAnsi="Calibri"/>
          <w:sz w:val="22"/>
          <w:szCs w:val="22"/>
          <w:u w:val="single"/>
        </w:rPr>
        <w:t>C. Wyposażenie pól liniowych 110kV w EAZ w rozdzielniach 110kV istniejących stacji Sochaczew, Żyrardów, Teresin, Bielnik i Grodzisk.</w:t>
      </w:r>
    </w:p>
    <w:p w14:paraId="7CBD17DB" w14:textId="77777777" w:rsidR="00E97FF6" w:rsidRPr="00E97FF6" w:rsidRDefault="00E97FF6" w:rsidP="00E97FF6">
      <w:pPr>
        <w:widowControl w:val="0"/>
        <w:autoSpaceDE w:val="0"/>
        <w:autoSpaceDN w:val="0"/>
        <w:adjustRightInd w:val="0"/>
        <w:spacing w:before="0" w:after="0" w:line="276" w:lineRule="auto"/>
        <w:ind w:left="0" w:firstLine="708"/>
        <w:rPr>
          <w:rFonts w:ascii="Calibri" w:hAnsi="Calibri"/>
          <w:sz w:val="22"/>
          <w:szCs w:val="22"/>
        </w:rPr>
      </w:pPr>
      <w:r w:rsidRPr="00E97FF6">
        <w:rPr>
          <w:rFonts w:ascii="Calibri" w:hAnsi="Calibri"/>
          <w:sz w:val="22"/>
          <w:szCs w:val="22"/>
        </w:rPr>
        <w:t>W istniejących stacjach Sochaczew, Żyrardów, Teresin, Bielnik i Grodzisk pola liniowe 110kV  kierunek stacja 110kV CPK wyposażyć w półkomplety zabezpieczeń odcinkowych, współpracujących z zabezpieczeniami różnicowo-prądowymi w nowej stacji 110kV CPK (projektowane pola liniowe Grodzisk, Żyrardów, Sochaczew 1, Teresin, Bielnik, Sochaczew 2 )</w:t>
      </w:r>
    </w:p>
    <w:p w14:paraId="7D491F92"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rPr>
      </w:pPr>
    </w:p>
    <w:p w14:paraId="794D1D58"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u w:val="single"/>
        </w:rPr>
      </w:pPr>
      <w:r w:rsidRPr="00E97FF6">
        <w:rPr>
          <w:rFonts w:ascii="Calibri" w:hAnsi="Calibri"/>
          <w:sz w:val="22"/>
          <w:szCs w:val="22"/>
          <w:u w:val="single"/>
        </w:rPr>
        <w:t>D. Usunięcie kolizji z istniejącymi na działkach odcinkami napowietrznych linii 15kV.</w:t>
      </w:r>
    </w:p>
    <w:p w14:paraId="1E6BBC2C"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u w:val="single"/>
        </w:rPr>
      </w:pPr>
    </w:p>
    <w:p w14:paraId="7EF5D7EA" w14:textId="39D332FD" w:rsidR="00E97FF6" w:rsidRPr="00E97FF6" w:rsidRDefault="00E97FF6" w:rsidP="00E97FF6">
      <w:pPr>
        <w:widowControl w:val="0"/>
        <w:autoSpaceDE w:val="0"/>
        <w:autoSpaceDN w:val="0"/>
        <w:adjustRightInd w:val="0"/>
        <w:spacing w:before="0" w:after="0" w:line="276" w:lineRule="auto"/>
        <w:ind w:left="0" w:firstLine="0"/>
        <w:rPr>
          <w:rFonts w:ascii="Calibri" w:hAnsi="Calibri"/>
          <w:sz w:val="22"/>
          <w:szCs w:val="22"/>
          <w:u w:val="single"/>
        </w:rPr>
      </w:pPr>
      <w:r w:rsidRPr="00E97FF6">
        <w:rPr>
          <w:rFonts w:ascii="Calibri" w:hAnsi="Calibri"/>
          <w:sz w:val="22"/>
          <w:szCs w:val="22"/>
        </w:rPr>
        <w:t>Z budową stacji kolidują istniejące na działkach,  odcinki napowietrznych linii 15kV Teresin-Kaski i Bielnik-Drzewicz, będące w eksploatacji RE Żyrardów.</w:t>
      </w:r>
    </w:p>
    <w:p w14:paraId="38692B76" w14:textId="77777777" w:rsidR="00E97FF6" w:rsidRPr="00E97FF6" w:rsidRDefault="00E97FF6" w:rsidP="00E97FF6">
      <w:pPr>
        <w:widowControl w:val="0"/>
        <w:autoSpaceDE w:val="0"/>
        <w:autoSpaceDN w:val="0"/>
        <w:adjustRightInd w:val="0"/>
        <w:spacing w:before="0" w:after="0" w:line="276" w:lineRule="auto"/>
        <w:ind w:left="0" w:firstLine="0"/>
        <w:rPr>
          <w:rFonts w:ascii="Calibri" w:hAnsi="Calibri" w:cs="Calibri"/>
          <w:sz w:val="22"/>
          <w:szCs w:val="22"/>
        </w:rPr>
      </w:pPr>
      <w:r w:rsidRPr="00E97FF6">
        <w:rPr>
          <w:rFonts w:ascii="Calibri" w:hAnsi="Calibri" w:cs="Calibri"/>
          <w:sz w:val="22"/>
          <w:szCs w:val="22"/>
        </w:rPr>
        <w:t>Mapę GIS z liniami 15kV kolidującymi z lokalizacją stacji 110kV CPK  przedstawiono w załączniku nr 4.</w:t>
      </w:r>
    </w:p>
    <w:p w14:paraId="6D47E8B2" w14:textId="77777777" w:rsidR="00FC2321" w:rsidRDefault="00FC2321" w:rsidP="00FC2321">
      <w:pPr>
        <w:widowControl w:val="0"/>
        <w:autoSpaceDE w:val="0"/>
        <w:autoSpaceDN w:val="0"/>
        <w:adjustRightInd w:val="0"/>
        <w:spacing w:before="0" w:after="0" w:line="276" w:lineRule="auto"/>
        <w:ind w:left="0" w:firstLine="0"/>
        <w:rPr>
          <w:rFonts w:ascii="Calibri" w:hAnsi="Calibri"/>
          <w:sz w:val="22"/>
          <w:szCs w:val="22"/>
          <w:u w:val="single"/>
        </w:rPr>
      </w:pPr>
    </w:p>
    <w:p w14:paraId="451B7A70" w14:textId="1F52C4BD" w:rsidR="00FC2321" w:rsidRPr="00E97FF6" w:rsidRDefault="00FC2321" w:rsidP="00FC2321">
      <w:pPr>
        <w:widowControl w:val="0"/>
        <w:autoSpaceDE w:val="0"/>
        <w:autoSpaceDN w:val="0"/>
        <w:adjustRightInd w:val="0"/>
        <w:spacing w:before="0" w:after="0" w:line="276" w:lineRule="auto"/>
        <w:ind w:left="0" w:firstLine="0"/>
        <w:rPr>
          <w:rFonts w:ascii="Calibri" w:hAnsi="Calibri"/>
          <w:sz w:val="22"/>
          <w:szCs w:val="22"/>
          <w:u w:val="single"/>
        </w:rPr>
      </w:pPr>
      <w:r>
        <w:rPr>
          <w:rFonts w:ascii="Calibri" w:hAnsi="Calibri"/>
          <w:sz w:val="22"/>
          <w:szCs w:val="22"/>
          <w:u w:val="single"/>
        </w:rPr>
        <w:t>E</w:t>
      </w:r>
      <w:r w:rsidRPr="00E97FF6">
        <w:rPr>
          <w:rFonts w:ascii="Calibri" w:hAnsi="Calibri"/>
          <w:sz w:val="22"/>
          <w:szCs w:val="22"/>
          <w:u w:val="single"/>
        </w:rPr>
        <w:t xml:space="preserve">. </w:t>
      </w:r>
      <w:r>
        <w:rPr>
          <w:rFonts w:ascii="Calibri" w:hAnsi="Calibri"/>
          <w:sz w:val="22"/>
          <w:szCs w:val="22"/>
          <w:u w:val="single"/>
        </w:rPr>
        <w:t>Rozbiórkę istniejących zabudowań i infrastruktury</w:t>
      </w:r>
      <w:r w:rsidRPr="00E97FF6">
        <w:rPr>
          <w:rFonts w:ascii="Calibri" w:hAnsi="Calibri"/>
          <w:sz w:val="22"/>
          <w:szCs w:val="22"/>
          <w:u w:val="single"/>
        </w:rPr>
        <w:t>.</w:t>
      </w:r>
    </w:p>
    <w:p w14:paraId="472A099B" w14:textId="25105D02" w:rsidR="00E97FF6" w:rsidRDefault="00FC2321" w:rsidP="00FC2321">
      <w:pPr>
        <w:widowControl w:val="0"/>
        <w:autoSpaceDE w:val="0"/>
        <w:autoSpaceDN w:val="0"/>
        <w:adjustRightInd w:val="0"/>
        <w:spacing w:before="0" w:after="0" w:line="276" w:lineRule="auto"/>
        <w:ind w:left="0" w:firstLine="0"/>
        <w:rPr>
          <w:rFonts w:ascii="Calibri" w:hAnsi="Calibri"/>
          <w:sz w:val="22"/>
          <w:szCs w:val="22"/>
        </w:rPr>
      </w:pPr>
      <w:r w:rsidRPr="00FC2321">
        <w:rPr>
          <w:rFonts w:ascii="Calibri" w:hAnsi="Calibri"/>
          <w:sz w:val="22"/>
          <w:szCs w:val="22"/>
        </w:rPr>
        <w:t>Na terenie działek, gdzie będzie zlokalizowana stacja 110kV CPK</w:t>
      </w:r>
      <w:r>
        <w:rPr>
          <w:rFonts w:ascii="Calibri" w:hAnsi="Calibri"/>
          <w:sz w:val="22"/>
          <w:szCs w:val="22"/>
        </w:rPr>
        <w:t>, zlokalizowane są istniejące zabudowania i infrastruktura techniczna, którą należy przewidzieć do demontażu i uzyskać pozwolenie na rozbiórkę.</w:t>
      </w:r>
    </w:p>
    <w:p w14:paraId="6A7777FE" w14:textId="77777777" w:rsidR="00FC2321" w:rsidRPr="00FC2321" w:rsidRDefault="00FC2321" w:rsidP="00FC2321">
      <w:pPr>
        <w:widowControl w:val="0"/>
        <w:autoSpaceDE w:val="0"/>
        <w:autoSpaceDN w:val="0"/>
        <w:adjustRightInd w:val="0"/>
        <w:spacing w:before="0" w:after="0" w:line="276" w:lineRule="auto"/>
        <w:ind w:left="0" w:firstLine="0"/>
        <w:rPr>
          <w:rFonts w:ascii="Calibri" w:hAnsi="Calibri"/>
          <w:sz w:val="22"/>
          <w:szCs w:val="22"/>
        </w:rPr>
      </w:pPr>
    </w:p>
    <w:p w14:paraId="38BF3C69" w14:textId="77777777" w:rsidR="00887F72" w:rsidRPr="005F6FAE" w:rsidRDefault="008A2FB8" w:rsidP="000C7774">
      <w:pPr>
        <w:pStyle w:val="Nagwek1"/>
        <w:spacing w:before="120" w:after="120" w:line="240" w:lineRule="auto"/>
        <w:ind w:left="431" w:hanging="431"/>
        <w:rPr>
          <w:rFonts w:asciiTheme="minorHAnsi" w:hAnsiTheme="minorHAnsi" w:cstheme="minorHAnsi"/>
          <w:szCs w:val="22"/>
        </w:rPr>
      </w:pPr>
      <w:bookmarkStart w:id="51" w:name="_Toc216678510"/>
      <w:r w:rsidRPr="005F6FAE">
        <w:rPr>
          <w:rFonts w:asciiTheme="minorHAnsi" w:hAnsiTheme="minorHAnsi" w:cstheme="minorHAnsi"/>
          <w:szCs w:val="22"/>
        </w:rPr>
        <w:t>Wymagania w zakresie pr</w:t>
      </w:r>
      <w:r w:rsidR="00887F72" w:rsidRPr="005F6FAE">
        <w:rPr>
          <w:rFonts w:asciiTheme="minorHAnsi" w:hAnsiTheme="minorHAnsi" w:cstheme="minorHAnsi"/>
          <w:szCs w:val="22"/>
        </w:rPr>
        <w:t>zygotowania dokumentacji projektowej</w:t>
      </w:r>
      <w:bookmarkEnd w:id="51"/>
    </w:p>
    <w:p w14:paraId="1B7D4A89" w14:textId="77777777" w:rsidR="00887F72" w:rsidRPr="005F6FAE" w:rsidRDefault="00887F72" w:rsidP="000C7774">
      <w:pPr>
        <w:pStyle w:val="Nagwek2"/>
        <w:spacing w:line="240" w:lineRule="auto"/>
        <w:ind w:left="578" w:hanging="578"/>
        <w:rPr>
          <w:rFonts w:asciiTheme="minorHAnsi" w:hAnsiTheme="minorHAnsi" w:cstheme="minorHAnsi"/>
          <w:i/>
          <w:color w:val="auto"/>
          <w:szCs w:val="22"/>
        </w:rPr>
      </w:pPr>
      <w:bookmarkStart w:id="52" w:name="_Toc399845177"/>
      <w:bookmarkStart w:id="53" w:name="_Toc216678511"/>
      <w:r w:rsidRPr="005F6FAE">
        <w:rPr>
          <w:rFonts w:asciiTheme="minorHAnsi" w:hAnsiTheme="minorHAnsi" w:cstheme="minorHAnsi"/>
          <w:i/>
          <w:color w:val="auto"/>
          <w:szCs w:val="22"/>
        </w:rPr>
        <w:t>Wymagania ogólne</w:t>
      </w:r>
      <w:bookmarkEnd w:id="52"/>
      <w:bookmarkEnd w:id="53"/>
    </w:p>
    <w:p w14:paraId="762D1251" w14:textId="77777777" w:rsidR="00E97FF6" w:rsidRPr="00651F80" w:rsidRDefault="00E97FF6" w:rsidP="00E97FF6">
      <w:pPr>
        <w:pStyle w:val="bezpunkw"/>
        <w:rPr>
          <w:rFonts w:cstheme="minorHAnsi"/>
        </w:rPr>
      </w:pPr>
      <w:r w:rsidRPr="00651F80">
        <w:rPr>
          <w:rFonts w:cstheme="minorHAnsi"/>
        </w:rPr>
        <w:t>Zamówienie w zakresie dokumentacji projektowej obejmuje, uzyskanie kompletnej dokumentacji projektowej (dokumentacji budowlanej i dokumentacji wykonawczej), sporządzonej zgodnie z przepisami, zasadami współczesnej wiedzy technicznej, przepisami BHP, a w szczególności z:</w:t>
      </w:r>
    </w:p>
    <w:p w14:paraId="3A24914E" w14:textId="77777777" w:rsidR="00E97FF6" w:rsidRPr="005017D6" w:rsidRDefault="00E97FF6" w:rsidP="00511E62">
      <w:pPr>
        <w:pStyle w:val="mylniki"/>
        <w:widowControl w:val="0"/>
        <w:numPr>
          <w:ilvl w:val="0"/>
          <w:numId w:val="11"/>
        </w:numPr>
        <w:autoSpaceDE w:val="0"/>
        <w:autoSpaceDN w:val="0"/>
        <w:adjustRightInd w:val="0"/>
        <w:spacing w:line="276" w:lineRule="auto"/>
      </w:pPr>
      <w:r w:rsidRPr="005017D6">
        <w:t>Ustawa z dnia 7 lipca 1994 r. Prawo budowlane (</w:t>
      </w:r>
      <w:proofErr w:type="spellStart"/>
      <w:r w:rsidRPr="005017D6">
        <w:t>t.j</w:t>
      </w:r>
      <w:proofErr w:type="spellEnd"/>
      <w:r w:rsidRPr="005017D6">
        <w:t xml:space="preserve">. Dz. U. </w:t>
      </w:r>
      <w:r>
        <w:t xml:space="preserve">z 2024 r. poz. 725 z </w:t>
      </w:r>
      <w:proofErr w:type="spellStart"/>
      <w:r>
        <w:t>późn</w:t>
      </w:r>
      <w:proofErr w:type="spellEnd"/>
      <w:r>
        <w:t>. zm.),</w:t>
      </w:r>
    </w:p>
    <w:p w14:paraId="27E73C1F" w14:textId="77777777" w:rsidR="00E97FF6" w:rsidRDefault="00E97FF6" w:rsidP="00511E62">
      <w:pPr>
        <w:pStyle w:val="mylniki"/>
        <w:widowControl w:val="0"/>
        <w:numPr>
          <w:ilvl w:val="0"/>
          <w:numId w:val="11"/>
        </w:numPr>
        <w:autoSpaceDE w:val="0"/>
        <w:autoSpaceDN w:val="0"/>
        <w:adjustRightInd w:val="0"/>
        <w:spacing w:line="276" w:lineRule="auto"/>
      </w:pPr>
      <w:r>
        <w:t xml:space="preserve">Rozporządzenie Ministra Klimatu i Środowiska z dnia 22 marca 2023 r. w sprawie szczegółowych warunków funkcjonowania systemu elektroenergetycznego </w:t>
      </w:r>
      <w:r>
        <w:rPr>
          <w:rFonts w:ascii="Arial" w:hAnsi="Arial" w:cs="Arial"/>
          <w:color w:val="333333"/>
          <w:sz w:val="18"/>
          <w:szCs w:val="18"/>
          <w:shd w:val="clear" w:color="auto" w:fill="FFFFFF"/>
        </w:rPr>
        <w:t xml:space="preserve">(Dz. U. poz. 819 z </w:t>
      </w:r>
      <w:proofErr w:type="spellStart"/>
      <w:r>
        <w:rPr>
          <w:rFonts w:ascii="Arial" w:hAnsi="Arial" w:cs="Arial"/>
          <w:color w:val="333333"/>
          <w:sz w:val="18"/>
          <w:szCs w:val="18"/>
          <w:shd w:val="clear" w:color="auto" w:fill="FFFFFF"/>
        </w:rPr>
        <w:t>późn</w:t>
      </w:r>
      <w:proofErr w:type="spellEnd"/>
      <w:r>
        <w:rPr>
          <w:rFonts w:ascii="Arial" w:hAnsi="Arial" w:cs="Arial"/>
          <w:color w:val="333333"/>
          <w:sz w:val="18"/>
          <w:szCs w:val="18"/>
          <w:shd w:val="clear" w:color="auto" w:fill="FFFFFF"/>
        </w:rPr>
        <w:t>. zm.)</w:t>
      </w:r>
      <w:r>
        <w:t>,</w:t>
      </w:r>
    </w:p>
    <w:p w14:paraId="6CFA427B" w14:textId="77777777" w:rsidR="00E97FF6" w:rsidRPr="00867055" w:rsidRDefault="00E97FF6" w:rsidP="00511E62">
      <w:pPr>
        <w:widowControl w:val="0"/>
        <w:numPr>
          <w:ilvl w:val="0"/>
          <w:numId w:val="11"/>
        </w:numPr>
        <w:autoSpaceDE w:val="0"/>
        <w:autoSpaceDN w:val="0"/>
        <w:adjustRightInd w:val="0"/>
        <w:spacing w:before="0" w:after="0"/>
        <w:rPr>
          <w:rFonts w:asciiTheme="minorHAnsi" w:hAnsiTheme="minorHAnsi" w:cstheme="minorHAnsi"/>
          <w:sz w:val="24"/>
        </w:rPr>
      </w:pPr>
      <w:r w:rsidRPr="00867055">
        <w:rPr>
          <w:rFonts w:asciiTheme="minorHAnsi" w:hAnsiTheme="minorHAnsi" w:cstheme="minorHAnsi"/>
          <w:color w:val="333333"/>
          <w:sz w:val="22"/>
          <w:szCs w:val="18"/>
          <w:shd w:val="clear" w:color="auto" w:fill="FFFFFF"/>
        </w:rPr>
        <w:t>Rozporządzenie Ministra Rozwoju z dnia 11 września 2020 r. w sprawie szczegółowego zakresu i</w:t>
      </w:r>
      <w:r>
        <w:rPr>
          <w:rFonts w:asciiTheme="minorHAnsi" w:hAnsiTheme="minorHAnsi" w:cstheme="minorHAnsi"/>
          <w:color w:val="333333"/>
          <w:sz w:val="22"/>
          <w:szCs w:val="18"/>
          <w:shd w:val="clear" w:color="auto" w:fill="FFFFFF"/>
        </w:rPr>
        <w:t> </w:t>
      </w:r>
      <w:r w:rsidRPr="00867055">
        <w:rPr>
          <w:rFonts w:asciiTheme="minorHAnsi" w:hAnsiTheme="minorHAnsi" w:cstheme="minorHAnsi"/>
          <w:color w:val="333333"/>
          <w:sz w:val="22"/>
          <w:szCs w:val="18"/>
          <w:shd w:val="clear" w:color="auto" w:fill="FFFFFF"/>
        </w:rPr>
        <w:t>formy projektu budowlanego (</w:t>
      </w:r>
      <w:proofErr w:type="spellStart"/>
      <w:r w:rsidRPr="00867055">
        <w:rPr>
          <w:rFonts w:asciiTheme="minorHAnsi" w:hAnsiTheme="minorHAnsi" w:cstheme="minorHAnsi"/>
          <w:color w:val="333333"/>
          <w:sz w:val="22"/>
          <w:szCs w:val="18"/>
          <w:shd w:val="clear" w:color="auto" w:fill="FFFFFF"/>
        </w:rPr>
        <w:t>t.j</w:t>
      </w:r>
      <w:proofErr w:type="spellEnd"/>
      <w:r w:rsidRPr="00867055">
        <w:rPr>
          <w:rFonts w:asciiTheme="minorHAnsi" w:hAnsiTheme="minorHAnsi" w:cstheme="minorHAnsi"/>
          <w:color w:val="333333"/>
          <w:sz w:val="22"/>
          <w:szCs w:val="18"/>
          <w:shd w:val="clear" w:color="auto" w:fill="FFFFFF"/>
        </w:rPr>
        <w:t xml:space="preserve">. Dz. U. z 2022 r. poz. 1679 z </w:t>
      </w:r>
      <w:proofErr w:type="spellStart"/>
      <w:r w:rsidRPr="00867055">
        <w:rPr>
          <w:rFonts w:asciiTheme="minorHAnsi" w:hAnsiTheme="minorHAnsi" w:cstheme="minorHAnsi"/>
          <w:color w:val="333333"/>
          <w:sz w:val="22"/>
          <w:szCs w:val="18"/>
          <w:shd w:val="clear" w:color="auto" w:fill="FFFFFF"/>
        </w:rPr>
        <w:t>późn</w:t>
      </w:r>
      <w:proofErr w:type="spellEnd"/>
      <w:r w:rsidRPr="00867055">
        <w:rPr>
          <w:rFonts w:asciiTheme="minorHAnsi" w:hAnsiTheme="minorHAnsi" w:cstheme="minorHAnsi"/>
          <w:color w:val="333333"/>
          <w:sz w:val="22"/>
          <w:szCs w:val="18"/>
          <w:shd w:val="clear" w:color="auto" w:fill="FFFFFF"/>
        </w:rPr>
        <w:t>. zm.)</w:t>
      </w:r>
      <w:r>
        <w:rPr>
          <w:rFonts w:asciiTheme="minorHAnsi" w:hAnsiTheme="minorHAnsi" w:cstheme="minorHAnsi"/>
          <w:color w:val="333333"/>
          <w:sz w:val="22"/>
          <w:szCs w:val="18"/>
          <w:shd w:val="clear" w:color="auto" w:fill="FFFFFF"/>
        </w:rPr>
        <w:t>,</w:t>
      </w:r>
      <w:r w:rsidRPr="00867055" w:rsidDel="005017D6">
        <w:rPr>
          <w:rFonts w:asciiTheme="minorHAnsi" w:hAnsiTheme="minorHAnsi" w:cstheme="minorHAnsi"/>
          <w:sz w:val="24"/>
        </w:rPr>
        <w:t xml:space="preserve"> </w:t>
      </w:r>
    </w:p>
    <w:p w14:paraId="57D564FD"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Rozporządzenie Ministra Rozwoju i Technologii z dnia 20 grudnia 2021 r. w sprawie szczegółowego zakresu i</w:t>
      </w:r>
      <w:r>
        <w:t> </w:t>
      </w:r>
      <w:r w:rsidRPr="00651F80">
        <w:t xml:space="preserve">formy dokumentacji projektowej, specyfikacji technicznych wykonania i odbioru robót </w:t>
      </w:r>
      <w:r w:rsidRPr="00651F80">
        <w:lastRenderedPageBreak/>
        <w:t>budowlanych oraz</w:t>
      </w:r>
      <w:r>
        <w:t> </w:t>
      </w:r>
      <w:r w:rsidRPr="00651F80">
        <w:t>programu funkcjonalno-użytkowego</w:t>
      </w:r>
      <w:r>
        <w:t xml:space="preserve"> </w:t>
      </w:r>
      <w:r w:rsidRPr="005017D6">
        <w:t xml:space="preserve"> (Dz. U. poz. 2454)</w:t>
      </w:r>
      <w:r w:rsidRPr="00651F80">
        <w:t>,</w:t>
      </w:r>
    </w:p>
    <w:p w14:paraId="309024F0"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Rozporządzenie Ministra Rozwoju i Technologii z dnia 29 grudnia 2021 r. w sprawie określania metod i podstaw sporządzania kosztorysu inwestorskiego, obliczania planowanych kosztów prac projektowych oraz</w:t>
      </w:r>
      <w:r>
        <w:t> </w:t>
      </w:r>
      <w:r w:rsidRPr="00651F80">
        <w:t>planowanych kosztów robót budowlanych określonych w programie funkcjonalno-użytkowym</w:t>
      </w:r>
      <w:r>
        <w:t xml:space="preserve"> </w:t>
      </w:r>
      <w:r w:rsidRPr="005017D6">
        <w:t>(Dz. U. poz. 2458)</w:t>
      </w:r>
      <w:r w:rsidRPr="00651F80">
        <w:t>,</w:t>
      </w:r>
    </w:p>
    <w:p w14:paraId="24E5DBAA" w14:textId="77777777" w:rsidR="00E97FF6" w:rsidRDefault="00E97FF6" w:rsidP="00511E62">
      <w:pPr>
        <w:pStyle w:val="mylniki"/>
        <w:widowControl w:val="0"/>
        <w:numPr>
          <w:ilvl w:val="0"/>
          <w:numId w:val="11"/>
        </w:numPr>
        <w:autoSpaceDE w:val="0"/>
        <w:autoSpaceDN w:val="0"/>
        <w:adjustRightInd w:val="0"/>
        <w:spacing w:line="276" w:lineRule="auto"/>
      </w:pPr>
      <w:r w:rsidRPr="005017D6">
        <w:t>Rozporządzenie Ministra Inwestycji i Rozwoju z dnia 29 kwietnia 2019 r. w sprawie przygotowania zawodowego do wykonywania samodzielnych funkcji technicznych w budownictwie (Dz. U. poz. 831).</w:t>
      </w:r>
    </w:p>
    <w:p w14:paraId="2128BF62" w14:textId="77777777" w:rsidR="00E97FF6" w:rsidRDefault="00E97FF6" w:rsidP="00511E62">
      <w:pPr>
        <w:pStyle w:val="mylniki"/>
        <w:widowControl w:val="0"/>
        <w:numPr>
          <w:ilvl w:val="0"/>
          <w:numId w:val="11"/>
        </w:numPr>
        <w:autoSpaceDE w:val="0"/>
        <w:autoSpaceDN w:val="0"/>
        <w:adjustRightInd w:val="0"/>
        <w:spacing w:line="276" w:lineRule="auto"/>
      </w:pPr>
      <w:r w:rsidRPr="005017D6">
        <w:t>Rozporządzenie Ministra Rozwoju, Pracy i Technologii z dnia 25 czerwca 2021 r. w sprawie wzoru oświadczenia o posiadanym prawie do dysponowania nieruchomością na cele budowlane (Dz. U. poz. 1170).</w:t>
      </w:r>
      <w:r w:rsidRPr="005017D6" w:rsidDel="005017D6">
        <w:t xml:space="preserve"> </w:t>
      </w:r>
    </w:p>
    <w:p w14:paraId="3342D60A" w14:textId="77777777" w:rsidR="00E97FF6" w:rsidRDefault="00E97FF6" w:rsidP="00511E62">
      <w:pPr>
        <w:pStyle w:val="mylniki"/>
        <w:widowControl w:val="0"/>
        <w:numPr>
          <w:ilvl w:val="0"/>
          <w:numId w:val="11"/>
        </w:numPr>
        <w:autoSpaceDE w:val="0"/>
        <w:autoSpaceDN w:val="0"/>
        <w:adjustRightInd w:val="0"/>
        <w:spacing w:line="276" w:lineRule="auto"/>
      </w:pPr>
      <w:r w:rsidRPr="00FC140B">
        <w:t>Rozporządzenie Ministra Rozwoju i Technologii z dnia 22 grudnia 2022 r. w sprawie dziennika budowy oraz</w:t>
      </w:r>
      <w:r>
        <w:t> </w:t>
      </w:r>
      <w:r w:rsidRPr="00FC140B">
        <w:t>systemu Elektroniczny Dziennik Bu</w:t>
      </w:r>
      <w:r>
        <w:t>dowy (Dz. U. z 2023 r. poz. 45),</w:t>
      </w:r>
    </w:p>
    <w:p w14:paraId="261A0365" w14:textId="77777777" w:rsidR="00E97FF6" w:rsidRPr="00FC140B" w:rsidRDefault="00E97FF6" w:rsidP="00511E62">
      <w:pPr>
        <w:pStyle w:val="mylniki"/>
        <w:widowControl w:val="0"/>
        <w:numPr>
          <w:ilvl w:val="0"/>
          <w:numId w:val="11"/>
        </w:numPr>
        <w:autoSpaceDE w:val="0"/>
        <w:autoSpaceDN w:val="0"/>
        <w:adjustRightInd w:val="0"/>
        <w:spacing w:line="276" w:lineRule="auto"/>
      </w:pPr>
      <w:r w:rsidRPr="00FC140B">
        <w:t>Rozporządzenie Ministra Infrastruktury z dnia 24 czerwca 2022 r. w sprawie przepisów techniczno-budowlanych dotyczących dróg publicznych (Dz. U. poz. 1518).</w:t>
      </w:r>
    </w:p>
    <w:p w14:paraId="4F00F14A"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Ustawa z dnia 17 maja 1989 r. Prawo geodezyjne i kartograficzne (</w:t>
      </w:r>
      <w:proofErr w:type="spellStart"/>
      <w:r w:rsidRPr="00FC140B">
        <w:t>t.j</w:t>
      </w:r>
      <w:proofErr w:type="spellEnd"/>
      <w:r w:rsidRPr="00FC140B">
        <w:t>. Dz. U. z</w:t>
      </w:r>
      <w:r>
        <w:t xml:space="preserve"> 2024 r. poz. 1151 z </w:t>
      </w:r>
      <w:proofErr w:type="spellStart"/>
      <w:r>
        <w:t>późn</w:t>
      </w:r>
      <w:proofErr w:type="spellEnd"/>
      <w:r>
        <w:t>. zm.),</w:t>
      </w:r>
    </w:p>
    <w:p w14:paraId="7235752D"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Ustawa z dnia 27 marca 2003 r. o planowaniu i zagospodarowaniu przestrzennym (</w:t>
      </w:r>
      <w:proofErr w:type="spellStart"/>
      <w:r w:rsidRPr="00FC140B">
        <w:t>t.j</w:t>
      </w:r>
      <w:proofErr w:type="spellEnd"/>
      <w:r w:rsidRPr="00FC140B">
        <w:t>. Dz. U. z 2024 r. poz.</w:t>
      </w:r>
      <w:r>
        <w:t> </w:t>
      </w:r>
      <w:r w:rsidRPr="00FC140B">
        <w:t xml:space="preserve">1130 z </w:t>
      </w:r>
      <w:proofErr w:type="spellStart"/>
      <w:r w:rsidRPr="00FC140B">
        <w:t>p</w:t>
      </w:r>
      <w:r>
        <w:t>óźn</w:t>
      </w:r>
      <w:proofErr w:type="spellEnd"/>
      <w:r>
        <w:t>. zm.</w:t>
      </w:r>
      <w:r w:rsidRPr="00651F80">
        <w:t>),</w:t>
      </w:r>
    </w:p>
    <w:p w14:paraId="07DD42A0" w14:textId="77777777" w:rsidR="00E97FF6" w:rsidRPr="00651F80"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Rozporządzenie Ministra Pracy i Polityki Socjalnej z dnia 23 czerwca 2003 r. w sprawie informacji dotyczącej bezpieczeństwa i ochrony zdrowia oraz planu bezpieczeństwa i ochrony zdrowia (Dz.U. 2003 nr 120, poz.</w:t>
      </w:r>
      <w:r>
        <w:rPr>
          <w:rFonts w:asciiTheme="minorHAnsi" w:eastAsiaTheme="minorEastAsia" w:hAnsiTheme="minorHAnsi" w:cstheme="minorHAnsi"/>
          <w:sz w:val="22"/>
          <w:szCs w:val="22"/>
          <w:lang w:eastAsia="en-US"/>
        </w:rPr>
        <w:t> </w:t>
      </w:r>
      <w:r w:rsidRPr="00651F80">
        <w:rPr>
          <w:rFonts w:asciiTheme="minorHAnsi" w:eastAsiaTheme="minorEastAsia" w:hAnsiTheme="minorHAnsi" w:cstheme="minorHAnsi"/>
          <w:sz w:val="22"/>
          <w:szCs w:val="22"/>
          <w:lang w:eastAsia="en-US"/>
        </w:rPr>
        <w:t>1126),</w:t>
      </w:r>
    </w:p>
    <w:p w14:paraId="4E51B097" w14:textId="77777777" w:rsidR="00E97FF6" w:rsidRPr="00651F80"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Rozporządzenie Ministra Pracy i Polityki Socjalnej z dnia 26 września 1997</w:t>
      </w:r>
      <w:r>
        <w:rPr>
          <w:rFonts w:asciiTheme="minorHAnsi" w:eastAsiaTheme="minorEastAsia" w:hAnsiTheme="minorHAnsi" w:cstheme="minorHAnsi"/>
          <w:sz w:val="22"/>
          <w:szCs w:val="22"/>
          <w:lang w:eastAsia="en-US"/>
        </w:rPr>
        <w:t xml:space="preserve"> </w:t>
      </w:r>
      <w:r w:rsidRPr="00651F80">
        <w:rPr>
          <w:rFonts w:asciiTheme="minorHAnsi" w:eastAsiaTheme="minorEastAsia" w:hAnsiTheme="minorHAnsi" w:cstheme="minorHAnsi"/>
          <w:sz w:val="22"/>
          <w:szCs w:val="22"/>
          <w:lang w:eastAsia="en-US"/>
        </w:rPr>
        <w:t xml:space="preserve">r. w sprawie ogólnych przepisów bezpieczeństwa i higieny pracy (tj. Dz.U. 2003 nr 169, poz. 1650 </w:t>
      </w:r>
      <w:r>
        <w:rPr>
          <w:rFonts w:asciiTheme="minorHAnsi" w:eastAsiaTheme="minorEastAsia" w:hAnsiTheme="minorHAnsi" w:cstheme="minorHAnsi"/>
          <w:sz w:val="22"/>
          <w:szCs w:val="22"/>
          <w:lang w:eastAsia="en-US"/>
        </w:rPr>
        <w:t xml:space="preserve">z </w:t>
      </w:r>
      <w:proofErr w:type="spellStart"/>
      <w:r>
        <w:rPr>
          <w:rFonts w:asciiTheme="minorHAnsi" w:eastAsiaTheme="minorEastAsia" w:hAnsiTheme="minorHAnsi" w:cstheme="minorHAnsi"/>
          <w:sz w:val="22"/>
          <w:szCs w:val="22"/>
          <w:lang w:eastAsia="en-US"/>
        </w:rPr>
        <w:t>późn</w:t>
      </w:r>
      <w:proofErr w:type="spellEnd"/>
      <w:r>
        <w:rPr>
          <w:rFonts w:asciiTheme="minorHAnsi" w:eastAsiaTheme="minorEastAsia" w:hAnsiTheme="minorHAnsi" w:cstheme="minorHAnsi"/>
          <w:sz w:val="22"/>
          <w:szCs w:val="22"/>
          <w:lang w:eastAsia="en-US"/>
        </w:rPr>
        <w:t>. zm.),</w:t>
      </w:r>
    </w:p>
    <w:p w14:paraId="2EF08119" w14:textId="77777777" w:rsidR="00E97FF6" w:rsidRPr="00651F80"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Rozporządzeniu Ministra Infrastruktury z dnia 6 lutego 2003r. w sprawie bezpieczeństwa i higieny pracy podczas wykonywania robót budowlanych (Dz.U. 2003 nr 47, poz. 401 ),</w:t>
      </w:r>
    </w:p>
    <w:p w14:paraId="5B9579AB" w14:textId="77777777" w:rsidR="00E97FF6" w:rsidRDefault="00E97FF6" w:rsidP="00511E62">
      <w:pPr>
        <w:pStyle w:val="mylniki"/>
        <w:widowControl w:val="0"/>
        <w:numPr>
          <w:ilvl w:val="0"/>
          <w:numId w:val="11"/>
        </w:numPr>
        <w:autoSpaceDE w:val="0"/>
        <w:autoSpaceDN w:val="0"/>
        <w:adjustRightInd w:val="0"/>
        <w:spacing w:line="276" w:lineRule="auto"/>
      </w:pPr>
      <w:r w:rsidRPr="00FB215B">
        <w:t>Rozporządzenie Ministra Energii z dnia 28 sierpnia 2019 r. w sprawie bezpieczeństwa i higieny pracy przy urządzeniach energetycznych (</w:t>
      </w:r>
      <w:proofErr w:type="spellStart"/>
      <w:r w:rsidRPr="00FB215B">
        <w:t>t</w:t>
      </w:r>
      <w:r>
        <w:t>.j</w:t>
      </w:r>
      <w:proofErr w:type="spellEnd"/>
      <w:r>
        <w:t>. Dz. U. z 2021 r. poz. 1210),</w:t>
      </w:r>
    </w:p>
    <w:p w14:paraId="106969F1"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Ustawa z dnia 16 kwietnia 2004 r. o wyrobach budowlanych (</w:t>
      </w:r>
      <w:proofErr w:type="spellStart"/>
      <w:r w:rsidRPr="00FB215B">
        <w:t>t.j</w:t>
      </w:r>
      <w:proofErr w:type="spellEnd"/>
      <w:r w:rsidRPr="00FB215B">
        <w:t>. Dz. U. z 2021 r. poz. 1213</w:t>
      </w:r>
      <w:r w:rsidRPr="00651F80">
        <w:t>),</w:t>
      </w:r>
    </w:p>
    <w:p w14:paraId="37120DB4" w14:textId="77777777" w:rsidR="00E97FF6" w:rsidRPr="00651F80"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Ustawa z dnia 12 września 2002 r. o normalizacji (tj. Dz.U. 2015, poz. 1483),</w:t>
      </w:r>
    </w:p>
    <w:p w14:paraId="4AA49359"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Ustawa z dnia 30 sierpnia 2002 r. o systemie oceny zgodności (</w:t>
      </w:r>
      <w:proofErr w:type="spellStart"/>
      <w:r w:rsidRPr="00FB215B">
        <w:t>t.j</w:t>
      </w:r>
      <w:proofErr w:type="spellEnd"/>
      <w:r w:rsidRPr="00FB215B">
        <w:t>. Dz. U. z 2023 r. poz. 215)</w:t>
      </w:r>
      <w:r>
        <w:t>,</w:t>
      </w:r>
      <w:r w:rsidRPr="00FB215B" w:rsidDel="00FB215B">
        <w:t xml:space="preserve"> </w:t>
      </w:r>
    </w:p>
    <w:p w14:paraId="26B598D2" w14:textId="77777777" w:rsidR="00E97FF6" w:rsidRDefault="00E97FF6" w:rsidP="00511E62">
      <w:pPr>
        <w:pStyle w:val="mylniki"/>
        <w:widowControl w:val="0"/>
        <w:numPr>
          <w:ilvl w:val="0"/>
          <w:numId w:val="11"/>
        </w:numPr>
        <w:autoSpaceDE w:val="0"/>
        <w:autoSpaceDN w:val="0"/>
        <w:adjustRightInd w:val="0"/>
        <w:spacing w:line="276" w:lineRule="auto"/>
      </w:pPr>
      <w:r w:rsidRPr="00FB215B">
        <w:t>Ustawa z dnia 20 lipca 2017 r. Prawo wodne (</w:t>
      </w:r>
      <w:proofErr w:type="spellStart"/>
      <w:r w:rsidRPr="00FB215B">
        <w:t>t.j</w:t>
      </w:r>
      <w:proofErr w:type="spellEnd"/>
      <w:r w:rsidRPr="00FB215B">
        <w:t>. Dz. U. z</w:t>
      </w:r>
      <w:r>
        <w:t xml:space="preserve"> 2024 r. poz. 1087 z </w:t>
      </w:r>
      <w:proofErr w:type="spellStart"/>
      <w:r>
        <w:t>późn</w:t>
      </w:r>
      <w:proofErr w:type="spellEnd"/>
      <w:r>
        <w:t>. zm.),</w:t>
      </w:r>
    </w:p>
    <w:p w14:paraId="1FB481D0" w14:textId="77777777" w:rsidR="00E97FF6" w:rsidRPr="00651F80" w:rsidRDefault="00E97FF6" w:rsidP="00511E62">
      <w:pPr>
        <w:pStyle w:val="mylniki"/>
        <w:widowControl w:val="0"/>
        <w:numPr>
          <w:ilvl w:val="0"/>
          <w:numId w:val="11"/>
        </w:numPr>
        <w:autoSpaceDE w:val="0"/>
        <w:autoSpaceDN w:val="0"/>
        <w:adjustRightInd w:val="0"/>
        <w:spacing w:line="276" w:lineRule="auto"/>
      </w:pPr>
      <w:r w:rsidRPr="00651F80">
        <w:t>Ustawa z dnia 27 kwietnia 2001 Prawo ochrony środowiska (</w:t>
      </w:r>
      <w:proofErr w:type="spellStart"/>
      <w:r w:rsidRPr="00FB215B">
        <w:t>t.j</w:t>
      </w:r>
      <w:proofErr w:type="spellEnd"/>
      <w:r w:rsidRPr="00FB215B">
        <w:t>. Dz. U.</w:t>
      </w:r>
      <w:r>
        <w:t xml:space="preserve"> z 2024 r. poz. 54 z </w:t>
      </w:r>
      <w:proofErr w:type="spellStart"/>
      <w:r>
        <w:t>późn</w:t>
      </w:r>
      <w:proofErr w:type="spellEnd"/>
      <w:r>
        <w:t>. zm.</w:t>
      </w:r>
      <w:r w:rsidRPr="00651F80">
        <w:t>)</w:t>
      </w:r>
      <w:r>
        <w:t>,</w:t>
      </w:r>
    </w:p>
    <w:p w14:paraId="6AE4D403" w14:textId="77777777" w:rsidR="00E97FF6" w:rsidRPr="00651F80" w:rsidRDefault="00E97FF6" w:rsidP="00511E62">
      <w:pPr>
        <w:pStyle w:val="mylniki"/>
        <w:widowControl w:val="0"/>
        <w:numPr>
          <w:ilvl w:val="0"/>
          <w:numId w:val="11"/>
        </w:numPr>
        <w:autoSpaceDE w:val="0"/>
        <w:autoSpaceDN w:val="0"/>
        <w:adjustRightInd w:val="0"/>
        <w:spacing w:line="276" w:lineRule="auto"/>
        <w:rPr>
          <w:b/>
          <w:u w:val="single"/>
        </w:rPr>
      </w:pPr>
      <w:r w:rsidRPr="00651F80">
        <w:t>Ustawa z dnia 14 grudnia 2012 o odpadach (</w:t>
      </w:r>
      <w:proofErr w:type="spellStart"/>
      <w:r w:rsidRPr="00FB215B">
        <w:t>t.j</w:t>
      </w:r>
      <w:proofErr w:type="spellEnd"/>
      <w:r w:rsidRPr="00FB215B">
        <w:t xml:space="preserve">. Dz. U. z 2023 r. poz. 1587 z </w:t>
      </w:r>
      <w:proofErr w:type="spellStart"/>
      <w:r w:rsidRPr="00FB215B">
        <w:t>późn</w:t>
      </w:r>
      <w:proofErr w:type="spellEnd"/>
      <w:r w:rsidRPr="00FB215B">
        <w:t>. zm</w:t>
      </w:r>
      <w:r>
        <w:t>.</w:t>
      </w:r>
      <w:r w:rsidRPr="00651F80">
        <w:t>)</w:t>
      </w:r>
      <w:r>
        <w:t>,</w:t>
      </w:r>
    </w:p>
    <w:p w14:paraId="67A673EB" w14:textId="77777777" w:rsidR="00E97FF6" w:rsidRPr="00CB69BB" w:rsidRDefault="00E97FF6" w:rsidP="00511E62">
      <w:pPr>
        <w:pStyle w:val="mylniki"/>
        <w:widowControl w:val="0"/>
        <w:numPr>
          <w:ilvl w:val="0"/>
          <w:numId w:val="11"/>
        </w:numPr>
        <w:autoSpaceDE w:val="0"/>
        <w:autoSpaceDN w:val="0"/>
        <w:adjustRightInd w:val="0"/>
        <w:spacing w:line="276" w:lineRule="auto"/>
      </w:pPr>
      <w:r w:rsidRPr="00CB69BB">
        <w:t>Ustawa z dnia 26 czerwca 1974 r. Kodeks pracy (</w:t>
      </w:r>
      <w:proofErr w:type="spellStart"/>
      <w:r w:rsidRPr="00FB215B">
        <w:t>t.j</w:t>
      </w:r>
      <w:proofErr w:type="spellEnd"/>
      <w:r w:rsidRPr="00FB215B">
        <w:t xml:space="preserve">. Dz. U. z 2025 r. poz. 277 z </w:t>
      </w:r>
      <w:proofErr w:type="spellStart"/>
      <w:r w:rsidRPr="00FB215B">
        <w:t>późn</w:t>
      </w:r>
      <w:proofErr w:type="spellEnd"/>
      <w:r w:rsidRPr="00FB215B">
        <w:t>. zm.</w:t>
      </w:r>
      <w:r w:rsidRPr="00FB215B" w:rsidDel="00FB215B">
        <w:t xml:space="preserve"> </w:t>
      </w:r>
      <w:r w:rsidRPr="00CB69BB">
        <w:t>)</w:t>
      </w:r>
      <w:r>
        <w:t>,</w:t>
      </w:r>
    </w:p>
    <w:p w14:paraId="77B9EFE2" w14:textId="77777777" w:rsidR="00E97FF6" w:rsidRPr="00CB69BB"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CB69BB">
        <w:rPr>
          <w:rFonts w:asciiTheme="minorHAnsi" w:eastAsiaTheme="minorEastAsia" w:hAnsiTheme="minorHAnsi" w:cstheme="minorHAnsi"/>
          <w:sz w:val="22"/>
          <w:szCs w:val="22"/>
          <w:lang w:eastAsia="en-US"/>
        </w:rPr>
        <w:t>Dokument o wykluczeniu SF6 ze stosowania w urządzeniach WN: Rozporządzenie Parlamentu Europejskiego i</w:t>
      </w:r>
      <w:r>
        <w:rPr>
          <w:rFonts w:asciiTheme="minorHAnsi" w:eastAsiaTheme="minorEastAsia" w:hAnsiTheme="minorHAnsi" w:cstheme="minorHAnsi"/>
          <w:sz w:val="22"/>
          <w:szCs w:val="22"/>
          <w:lang w:eastAsia="en-US"/>
        </w:rPr>
        <w:t> </w:t>
      </w:r>
      <w:r w:rsidRPr="00CB69BB">
        <w:rPr>
          <w:rFonts w:asciiTheme="minorHAnsi" w:eastAsiaTheme="minorEastAsia" w:hAnsiTheme="minorHAnsi" w:cstheme="minorHAnsi"/>
          <w:sz w:val="22"/>
          <w:szCs w:val="22"/>
          <w:lang w:eastAsia="en-US"/>
        </w:rPr>
        <w:t>Rady (UE) 2024/573 z dnia 7 lutego 2024 r. w sprawie fluorowanych gazów cieplarnianych, zmieniające dyrektywę (UE) 2019/1937 i uchylające rozporządzenie (UE) nr 517/2014</w:t>
      </w:r>
      <w:r>
        <w:rPr>
          <w:rFonts w:asciiTheme="minorHAnsi" w:eastAsiaTheme="minorEastAsia" w:hAnsiTheme="minorHAnsi" w:cstheme="minorHAnsi"/>
          <w:sz w:val="22"/>
          <w:szCs w:val="22"/>
          <w:lang w:eastAsia="en-US"/>
        </w:rPr>
        <w:t>,</w:t>
      </w:r>
    </w:p>
    <w:p w14:paraId="3334B86C" w14:textId="77777777" w:rsidR="00E97FF6"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proofErr w:type="spellStart"/>
      <w:r>
        <w:rPr>
          <w:rFonts w:asciiTheme="minorHAnsi" w:eastAsiaTheme="minorEastAsia" w:hAnsiTheme="minorHAnsi" w:cstheme="minorHAnsi"/>
          <w:sz w:val="22"/>
          <w:szCs w:val="22"/>
          <w:lang w:eastAsia="en-US"/>
        </w:rPr>
        <w:t>IRiESD</w:t>
      </w:r>
      <w:proofErr w:type="spellEnd"/>
      <w:r>
        <w:rPr>
          <w:rFonts w:asciiTheme="minorHAnsi" w:eastAsiaTheme="minorEastAsia" w:hAnsiTheme="minorHAnsi" w:cstheme="minorHAnsi"/>
          <w:sz w:val="22"/>
          <w:szCs w:val="22"/>
          <w:lang w:eastAsia="en-US"/>
        </w:rPr>
        <w:t xml:space="preserve"> PGE Dystrybucja SA,</w:t>
      </w:r>
    </w:p>
    <w:p w14:paraId="0893E2E0" w14:textId="77777777" w:rsidR="00E97FF6"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proofErr w:type="spellStart"/>
      <w:r>
        <w:rPr>
          <w:rFonts w:asciiTheme="minorHAnsi" w:eastAsiaTheme="minorEastAsia" w:hAnsiTheme="minorHAnsi" w:cstheme="minorHAnsi"/>
          <w:sz w:val="22"/>
          <w:szCs w:val="22"/>
          <w:lang w:eastAsia="en-US"/>
        </w:rPr>
        <w:t>IRiESD</w:t>
      </w:r>
      <w:proofErr w:type="spellEnd"/>
      <w:r>
        <w:rPr>
          <w:rFonts w:asciiTheme="minorHAnsi" w:eastAsiaTheme="minorEastAsia" w:hAnsiTheme="minorHAnsi" w:cstheme="minorHAnsi"/>
          <w:sz w:val="22"/>
          <w:szCs w:val="22"/>
          <w:lang w:eastAsia="en-US"/>
        </w:rPr>
        <w:t xml:space="preserve"> PSE SA,</w:t>
      </w:r>
    </w:p>
    <w:p w14:paraId="2C736479" w14:textId="77777777" w:rsidR="00E97FF6" w:rsidRPr="00CB69BB" w:rsidRDefault="00E97FF6" w:rsidP="00511E62">
      <w:pPr>
        <w:widowControl w:val="0"/>
        <w:numPr>
          <w:ilvl w:val="0"/>
          <w:numId w:val="11"/>
        </w:numPr>
        <w:autoSpaceDE w:val="0"/>
        <w:autoSpaceDN w:val="0"/>
        <w:adjustRightInd w:val="0"/>
        <w:spacing w:before="0" w:after="0"/>
        <w:rPr>
          <w:rFonts w:asciiTheme="minorHAnsi" w:eastAsiaTheme="minorEastAsia" w:hAnsiTheme="minorHAnsi" w:cstheme="minorHAnsi"/>
          <w:sz w:val="22"/>
          <w:szCs w:val="22"/>
          <w:lang w:eastAsia="en-US"/>
        </w:rPr>
      </w:pPr>
      <w:r w:rsidRPr="00CB69BB">
        <w:rPr>
          <w:rFonts w:asciiTheme="minorHAnsi" w:eastAsiaTheme="minorEastAsia" w:hAnsiTheme="minorHAnsi" w:cstheme="minorHAnsi"/>
          <w:sz w:val="22"/>
          <w:szCs w:val="22"/>
          <w:lang w:eastAsia="en-US"/>
        </w:rPr>
        <w:t>Wiedzy technicznej i zasad sztuki budowlanej.</w:t>
      </w:r>
    </w:p>
    <w:p w14:paraId="61E2392A" w14:textId="77777777" w:rsidR="00E97FF6" w:rsidRPr="00CB69BB" w:rsidRDefault="00E97FF6" w:rsidP="00E97FF6">
      <w:pPr>
        <w:pStyle w:val="bezpunkw"/>
        <w:ind w:firstLine="0"/>
        <w:rPr>
          <w:rFonts w:cstheme="minorHAnsi"/>
        </w:rPr>
      </w:pPr>
      <w:r w:rsidRPr="00CB69BB">
        <w:rPr>
          <w:rFonts w:cstheme="minorHAnsi"/>
        </w:rPr>
        <w:t xml:space="preserve">Rozwiązania techniczne, zastosowanie materiałów i urządzeń elektroenergetycznych winny być zgodne </w:t>
      </w:r>
      <w:r w:rsidRPr="005777C1">
        <w:rPr>
          <w:rFonts w:cstheme="minorHAnsi"/>
        </w:rPr>
        <w:t>z obowiązującymi normami, z pominięciem stosowania izolacji SF6.</w:t>
      </w:r>
    </w:p>
    <w:p w14:paraId="3EB7FDD7" w14:textId="77777777" w:rsidR="00E97FF6" w:rsidRPr="00CB69BB" w:rsidRDefault="00E97FF6" w:rsidP="00E97FF6">
      <w:pPr>
        <w:pStyle w:val="bezpunkw"/>
        <w:ind w:firstLine="0"/>
        <w:rPr>
          <w:rFonts w:cstheme="minorHAnsi"/>
        </w:rPr>
      </w:pPr>
      <w:r w:rsidRPr="00CB69BB">
        <w:rPr>
          <w:rFonts w:cstheme="minorHAnsi"/>
        </w:rPr>
        <w:lastRenderedPageBreak/>
        <w:t>Rozwiązania techniczne, zastosowanie materiałów i urządzeń elektroenergetycznych winny być zgodne z</w:t>
      </w:r>
      <w:r>
        <w:rPr>
          <w:rFonts w:cstheme="minorHAnsi"/>
        </w:rPr>
        <w:t> </w:t>
      </w:r>
      <w:r w:rsidRPr="00CB69BB">
        <w:rPr>
          <w:rFonts w:cstheme="minorHAnsi"/>
        </w:rPr>
        <w:t xml:space="preserve">obowiązującymi w PGE Dystrybucja S.A. standardami budowy urządzeń objętych w opracowaniu „Wytyczne do budowy systemów elektroenergetycznych w PGE Dystrybucja S.A” w skrócie WBSE </w:t>
      </w:r>
      <w:r w:rsidRPr="00CB69BB">
        <w:rPr>
          <w:rFonts w:eastAsiaTheme="minorEastAsia" w:cstheme="minorHAnsi"/>
          <w:lang w:eastAsia="en-US"/>
        </w:rPr>
        <w:t>z 04.02.2019 r. z późniejszymi zmianami</w:t>
      </w:r>
      <w:r w:rsidRPr="00CB69BB">
        <w:rPr>
          <w:rFonts w:cstheme="minorHAnsi"/>
        </w:rPr>
        <w:t xml:space="preserve"> oraz rozporządzeniem (UE) o zakazie stosowania </w:t>
      </w:r>
      <w:r>
        <w:rPr>
          <w:rFonts w:cstheme="minorHAnsi"/>
        </w:rPr>
        <w:t>gazów cieplarnianych, w tym</w:t>
      </w:r>
      <w:r w:rsidRPr="00CB69BB">
        <w:rPr>
          <w:rFonts w:cstheme="minorHAnsi"/>
        </w:rPr>
        <w:t xml:space="preserve"> SF6</w:t>
      </w:r>
      <w:r>
        <w:rPr>
          <w:rFonts w:cstheme="minorHAnsi"/>
        </w:rPr>
        <w:t>.</w:t>
      </w:r>
    </w:p>
    <w:p w14:paraId="3391E511" w14:textId="77777777" w:rsidR="00E97FF6" w:rsidRPr="00651F80" w:rsidRDefault="00E97FF6" w:rsidP="00E97FF6">
      <w:pPr>
        <w:pStyle w:val="bezpunkw"/>
        <w:ind w:firstLine="0"/>
        <w:rPr>
          <w:rFonts w:cstheme="minorHAnsi"/>
        </w:rPr>
      </w:pPr>
      <w:r w:rsidRPr="00651F80">
        <w:rPr>
          <w:rFonts w:cstheme="minorHAnsi"/>
        </w:rPr>
        <w:t xml:space="preserve">Dokumentacja powinna zawierać wszystkie niezbędne uzgodnienia </w:t>
      </w:r>
      <w:r>
        <w:rPr>
          <w:rFonts w:cstheme="minorHAnsi"/>
        </w:rPr>
        <w:t>oraz</w:t>
      </w:r>
      <w:r w:rsidRPr="00651F80">
        <w:rPr>
          <w:rFonts w:cstheme="minorHAnsi"/>
        </w:rPr>
        <w:t xml:space="preserve"> ostateczne </w:t>
      </w:r>
      <w:r>
        <w:rPr>
          <w:rFonts w:cstheme="minorHAnsi"/>
        </w:rPr>
        <w:t xml:space="preserve">i prawomocne </w:t>
      </w:r>
      <w:r w:rsidRPr="00651F80">
        <w:rPr>
          <w:rFonts w:cstheme="minorHAnsi"/>
        </w:rPr>
        <w:t>decyzje</w:t>
      </w:r>
      <w:r>
        <w:rPr>
          <w:rFonts w:cstheme="minorHAnsi"/>
        </w:rPr>
        <w:t xml:space="preserve"> administracyjne</w:t>
      </w:r>
      <w:r w:rsidRPr="00651F80">
        <w:rPr>
          <w:rFonts w:cstheme="minorHAnsi"/>
        </w:rPr>
        <w:t xml:space="preserve"> uprawniające Zamawiającego do realizacji zadania. </w:t>
      </w:r>
    </w:p>
    <w:p w14:paraId="7F0D8D58" w14:textId="37276213" w:rsidR="00E97FF6" w:rsidRDefault="00E97FF6" w:rsidP="00E97FF6">
      <w:pPr>
        <w:pStyle w:val="bezpunkw"/>
        <w:ind w:firstLine="0"/>
        <w:rPr>
          <w:rFonts w:cstheme="minorHAnsi"/>
        </w:rPr>
      </w:pPr>
      <w:r w:rsidRPr="00651F80">
        <w:rPr>
          <w:rFonts w:cstheme="minorHAnsi"/>
        </w:rPr>
        <w:t>Wykonawca w ramach wykonania przedmiotu umowy zobowiązany jest do pełnienia nadzoru autorskiego na budowie realizowanej według wykonanej przez siebie dokumentacji projektowej, w zakresie czynności wynikających z Prawa Budowlanego.</w:t>
      </w:r>
    </w:p>
    <w:p w14:paraId="6224E806" w14:textId="1581BB65" w:rsidR="00F031DA" w:rsidRPr="00F031DA" w:rsidRDefault="00F031DA" w:rsidP="00F031DA">
      <w:pPr>
        <w:pStyle w:val="bezpunkw"/>
        <w:ind w:firstLine="0"/>
      </w:pPr>
      <w:r w:rsidRPr="005F6FAE">
        <w:rPr>
          <w:rFonts w:cstheme="minorHAnsi"/>
        </w:rPr>
        <w:t>Rozwiązania techniczne, zastosowanie materiałów i urządzeń elektroenergetycznych winny być zgodne z obowiązującymi w PGE Dystrybucja S.A. standardami budowy urządzeń objętych w opracowaniu „Wytyczne do budowy systemów elektroenergetycznych w PGE Dystrybucja S.A”</w:t>
      </w:r>
      <w:r>
        <w:rPr>
          <w:rFonts w:cstheme="minorHAnsi"/>
        </w:rPr>
        <w:t xml:space="preserve">. </w:t>
      </w:r>
      <w:r w:rsidRPr="005E4208">
        <w:rPr>
          <w:rFonts w:cstheme="minorHAnsi"/>
        </w:rPr>
        <w:t>W szczególności dla linii napowietrznych 110kV, dokumentację proj</w:t>
      </w:r>
      <w:r>
        <w:rPr>
          <w:rFonts w:cstheme="minorHAnsi"/>
        </w:rPr>
        <w:t>ektową należy wykonać zgodnie z</w:t>
      </w:r>
      <w:r w:rsidRPr="005E4208">
        <w:rPr>
          <w:rFonts w:cstheme="minorHAnsi"/>
        </w:rPr>
        <w:t xml:space="preserve"> WBSE Tom 1 „Linie napowietrzne 110kV”, które dostępne są pod adresem: </w:t>
      </w:r>
      <w:hyperlink r:id="rId10" w:history="1">
        <w:r w:rsidRPr="005E4208">
          <w:rPr>
            <w:rStyle w:val="Hipercze"/>
            <w:rFonts w:cstheme="minorHAnsi"/>
          </w:rPr>
          <w:t>https://pgedystrybucja.pl/strefa-klienta/przydatne-dokumenty</w:t>
        </w:r>
      </w:hyperlink>
    </w:p>
    <w:p w14:paraId="78A07CC0" w14:textId="46E4A988" w:rsidR="00F031DA" w:rsidRPr="005E4208" w:rsidRDefault="00F031DA" w:rsidP="00F031DA">
      <w:pPr>
        <w:pStyle w:val="bezpunkw"/>
        <w:ind w:firstLine="0"/>
        <w:rPr>
          <w:rFonts w:cstheme="minorHAnsi"/>
        </w:rPr>
      </w:pPr>
      <w:r w:rsidRPr="005E4208">
        <w:rPr>
          <w:rFonts w:cstheme="minorHAnsi"/>
        </w:rPr>
        <w:t>Dokumentacja projektowa będzie przedłożona Zamawiającemu do uzgodnień i akceptacji. Uzgodnienie przez Zamawiającego dokumentacji nie zwalnia Wykonawcy od zrealizowania zakresu prac zgodnie z wiedzą techniczną</w:t>
      </w:r>
      <w:r>
        <w:rPr>
          <w:rFonts w:cstheme="minorHAnsi"/>
        </w:rPr>
        <w:t>.</w:t>
      </w:r>
    </w:p>
    <w:p w14:paraId="63116909" w14:textId="2C86526D" w:rsidR="00F031DA" w:rsidRPr="00F031DA" w:rsidRDefault="00F031DA" w:rsidP="00E97FF6">
      <w:pPr>
        <w:pStyle w:val="bezpunkw"/>
        <w:ind w:firstLine="0"/>
        <w:rPr>
          <w:rFonts w:cstheme="minorHAnsi"/>
          <w:b/>
          <w:u w:val="single"/>
        </w:rPr>
      </w:pPr>
      <w:r w:rsidRPr="00F031DA">
        <w:rPr>
          <w:rFonts w:cstheme="minorHAnsi"/>
          <w:b/>
          <w:u w:val="single"/>
        </w:rPr>
        <w:t>Projekt należy wykonać zgodnie z przepisami powszechnie obowiązującego prawa, w tym Rozporządzenia Ministra Rozwoju i Technologii z dnia 20 grudnia 2021 r. w sprawie szczegółowego zakresu i formy dokumentacji projektowej, specyfikacji technicznych wykonania i odbioru robót budowlanych oraz programu funkcjonalno-użytkowego (Dz. U. poz. 2454). Opracowana dokumentacja projektowa w swojej zawartości nie może wpłynąć na ograniczenie uczciwej konkurencji na etapie postępowania prowadzonego w celu wyboru wykonawcy i realizacji robót budowlanych, w szczególności nie może wskazywać znaków towarowych, patentów lub pochodzenia, źródła lub szczególnego procesu lub cechy, który charakteryzuje produkty lub usługi dostarczane przez konkretnego wykonawcę, chyba, że Wykonawca nie może opisać przedmiotu zamówienia w wystarczająco precyzyjny i zrozumiały sposób, a wskazaniu takiemu towarzyszą wyrazy „lub równoważny” oraz określenie kryteriów stosowanych w celu oceny równoważności. W procesie przygotowywania dokumentacji projektowej Wykonawca jest zobowiązany dopuszczać rozwiązania o takich samych właściwościach i stosować wymogi równoważności, w szczególności takie jak jakość, wydajność, bezpieczeństwo, trwałość i  inne parametry. Realizacja tego obowiązku obejmuje przede wszystkim opisywanie zastosowanych rozwiązań w sposób precyzyjny i zrozumiały, z określeniem kryteriów niezbędnych dla oceny równoważności rozwiązań. Zamawiający ma prawo żądać od Wykonawcy wyjaśnień dotyczących realizacji ww. obowiązków związanych ze stosowaniem kryteriów równoważności.</w:t>
      </w:r>
    </w:p>
    <w:p w14:paraId="52B395DB" w14:textId="77777777" w:rsidR="004F605A" w:rsidRPr="005F6FAE" w:rsidRDefault="004F605A" w:rsidP="00F031DA">
      <w:pPr>
        <w:pStyle w:val="bezpunkw"/>
        <w:ind w:firstLine="0"/>
        <w:rPr>
          <w:rFonts w:cstheme="minorHAnsi"/>
        </w:rPr>
      </w:pPr>
      <w:r w:rsidRPr="005F6FAE">
        <w:rPr>
          <w:rFonts w:cstheme="minorHAnsi"/>
        </w:rPr>
        <w:t>Rozwiązania techniczne, zastosowanie materiałów i urządzeń elektroenergetycznych winny być zgodne z obowiązującymi w normami w tym w szczególności:</w:t>
      </w:r>
    </w:p>
    <w:p w14:paraId="4E88E5FC" w14:textId="77777777" w:rsidR="004F605A" w:rsidRPr="005F6FAE" w:rsidRDefault="004F605A" w:rsidP="00511E62">
      <w:pPr>
        <w:pStyle w:val="Akapitzlist"/>
        <w:widowControl w:val="0"/>
        <w:numPr>
          <w:ilvl w:val="0"/>
          <w:numId w:val="12"/>
        </w:numPr>
        <w:autoSpaceDE w:val="0"/>
        <w:autoSpaceDN w:val="0"/>
        <w:adjustRightInd w:val="0"/>
        <w:spacing w:line="276" w:lineRule="auto"/>
        <w:ind w:left="1037" w:hanging="357"/>
        <w:rPr>
          <w:rFonts w:asciiTheme="minorHAnsi" w:eastAsiaTheme="minorEastAsia" w:hAnsiTheme="minorHAnsi" w:cstheme="minorHAnsi"/>
          <w:sz w:val="22"/>
          <w:szCs w:val="22"/>
          <w:lang w:eastAsia="en-US"/>
        </w:rPr>
      </w:pPr>
      <w:r w:rsidRPr="005F6FAE">
        <w:rPr>
          <w:rFonts w:asciiTheme="minorHAnsi" w:eastAsiaTheme="minorEastAsia" w:hAnsiTheme="minorHAnsi" w:cstheme="minorHAnsi"/>
          <w:sz w:val="22"/>
          <w:szCs w:val="22"/>
          <w:lang w:eastAsia="en-US"/>
        </w:rPr>
        <w:t xml:space="preserve">Normy dla linii 110 </w:t>
      </w:r>
      <w:proofErr w:type="spellStart"/>
      <w:r w:rsidRPr="005F6FAE">
        <w:rPr>
          <w:rFonts w:asciiTheme="minorHAnsi" w:eastAsiaTheme="minorEastAsia" w:hAnsiTheme="minorHAnsi" w:cstheme="minorHAnsi"/>
          <w:sz w:val="22"/>
          <w:szCs w:val="22"/>
          <w:lang w:eastAsia="en-US"/>
        </w:rPr>
        <w:t>kV</w:t>
      </w:r>
      <w:proofErr w:type="spellEnd"/>
      <w:r w:rsidRPr="005F6FAE">
        <w:rPr>
          <w:rFonts w:asciiTheme="minorHAnsi" w:eastAsiaTheme="minorEastAsia" w:hAnsiTheme="minorHAnsi" w:cstheme="minorHAnsi"/>
          <w:sz w:val="22"/>
          <w:szCs w:val="22"/>
          <w:lang w:eastAsia="en-US"/>
        </w:rPr>
        <w:t>:</w:t>
      </w:r>
    </w:p>
    <w:tbl>
      <w:tblPr>
        <w:tblW w:w="9356" w:type="dxa"/>
        <w:tblInd w:w="70"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946"/>
      </w:tblGrid>
      <w:tr w:rsidR="000C7774" w:rsidRPr="005F6FAE" w14:paraId="5C0B1BDB" w14:textId="77777777" w:rsidTr="00D2360B">
        <w:trPr>
          <w:cantSplit/>
          <w:trHeight w:val="397"/>
        </w:trPr>
        <w:tc>
          <w:tcPr>
            <w:tcW w:w="2410" w:type="dxa"/>
            <w:tcBorders>
              <w:bottom w:val="single" w:sz="4" w:space="0" w:color="auto"/>
            </w:tcBorders>
            <w:shd w:val="clear" w:color="auto" w:fill="auto"/>
            <w:vAlign w:val="center"/>
          </w:tcPr>
          <w:p w14:paraId="74EBDA99" w14:textId="77777777" w:rsidR="004F605A" w:rsidRPr="005F6FAE" w:rsidRDefault="004F605A" w:rsidP="00157809">
            <w:pPr>
              <w:pStyle w:val="Bezodstpw"/>
              <w:rPr>
                <w:rFonts w:cstheme="minorHAnsi"/>
                <w:b/>
              </w:rPr>
            </w:pPr>
            <w:r w:rsidRPr="005F6FAE">
              <w:rPr>
                <w:rFonts w:cstheme="minorHAnsi"/>
                <w:b/>
              </w:rPr>
              <w:t>Nr normy</w:t>
            </w:r>
          </w:p>
        </w:tc>
        <w:tc>
          <w:tcPr>
            <w:tcW w:w="6946" w:type="dxa"/>
            <w:tcBorders>
              <w:bottom w:val="single" w:sz="4" w:space="0" w:color="auto"/>
            </w:tcBorders>
            <w:shd w:val="clear" w:color="auto" w:fill="auto"/>
            <w:vAlign w:val="center"/>
          </w:tcPr>
          <w:p w14:paraId="172E088F" w14:textId="77777777" w:rsidR="004F605A" w:rsidRPr="005F6FAE" w:rsidRDefault="004F605A" w:rsidP="00157809">
            <w:pPr>
              <w:pStyle w:val="Bezodstpw"/>
              <w:rPr>
                <w:rFonts w:cstheme="minorHAnsi"/>
                <w:b/>
              </w:rPr>
            </w:pPr>
            <w:r w:rsidRPr="005F6FAE">
              <w:rPr>
                <w:rFonts w:cstheme="minorHAnsi"/>
                <w:b/>
              </w:rPr>
              <w:t>Nazwa</w:t>
            </w:r>
          </w:p>
        </w:tc>
      </w:tr>
      <w:tr w:rsidR="000C7774" w:rsidRPr="005F6FAE" w14:paraId="4DEDA49C" w14:textId="77777777" w:rsidTr="00D2360B">
        <w:trPr>
          <w:cantSplit/>
          <w:trHeight w:val="397"/>
        </w:trPr>
        <w:tc>
          <w:tcPr>
            <w:tcW w:w="2410" w:type="dxa"/>
            <w:tcBorders>
              <w:top w:val="single" w:sz="4" w:space="0" w:color="auto"/>
            </w:tcBorders>
            <w:vAlign w:val="center"/>
          </w:tcPr>
          <w:p w14:paraId="31388C75" w14:textId="77777777" w:rsidR="004F605A" w:rsidRPr="005F6FAE" w:rsidRDefault="004F605A" w:rsidP="00D2360B">
            <w:pPr>
              <w:pStyle w:val="Bezodstpw"/>
              <w:spacing w:before="0" w:after="0"/>
              <w:ind w:left="0" w:firstLine="0"/>
              <w:jc w:val="left"/>
              <w:rPr>
                <w:rFonts w:cstheme="minorHAnsi"/>
                <w:sz w:val="20"/>
                <w:szCs w:val="20"/>
                <w:lang w:val="de-DE"/>
              </w:rPr>
            </w:pPr>
            <w:r w:rsidRPr="005F6FAE">
              <w:rPr>
                <w:rFonts w:cstheme="minorHAnsi"/>
                <w:sz w:val="20"/>
                <w:szCs w:val="20"/>
                <w:lang w:val="de-DE"/>
              </w:rPr>
              <w:t>PN-EN-61936-1:2011/AC:2012</w:t>
            </w:r>
          </w:p>
        </w:tc>
        <w:tc>
          <w:tcPr>
            <w:tcW w:w="6946" w:type="dxa"/>
            <w:tcBorders>
              <w:top w:val="single" w:sz="4" w:space="0" w:color="auto"/>
            </w:tcBorders>
            <w:vAlign w:val="center"/>
          </w:tcPr>
          <w:p w14:paraId="61712D8F"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 xml:space="preserve">Instalacje elektroenergetyczne prądu przemiennego o napięciu wyższym niż 1 </w:t>
            </w:r>
            <w:proofErr w:type="spellStart"/>
            <w:r w:rsidRPr="005F6FAE">
              <w:rPr>
                <w:rFonts w:cstheme="minorHAnsi"/>
                <w:i/>
                <w:sz w:val="20"/>
                <w:szCs w:val="20"/>
              </w:rPr>
              <w:t>kV</w:t>
            </w:r>
            <w:proofErr w:type="spellEnd"/>
            <w:r w:rsidRPr="005F6FAE">
              <w:rPr>
                <w:rFonts w:cstheme="minorHAnsi"/>
                <w:i/>
                <w:sz w:val="20"/>
                <w:szCs w:val="20"/>
              </w:rPr>
              <w:t>. Część 1: Postanowienia ogólne.</w:t>
            </w:r>
          </w:p>
        </w:tc>
      </w:tr>
      <w:tr w:rsidR="000C7774" w:rsidRPr="005F6FAE" w14:paraId="282129E3" w14:textId="77777777" w:rsidTr="00D2360B">
        <w:trPr>
          <w:cantSplit/>
          <w:trHeight w:val="397"/>
        </w:trPr>
        <w:tc>
          <w:tcPr>
            <w:tcW w:w="2410" w:type="dxa"/>
            <w:vAlign w:val="center"/>
          </w:tcPr>
          <w:p w14:paraId="30D0D076" w14:textId="77777777" w:rsidR="004F605A" w:rsidRPr="005F6FAE" w:rsidRDefault="004F605A" w:rsidP="00D2360B">
            <w:pPr>
              <w:pStyle w:val="Bezodstpw"/>
              <w:spacing w:before="0" w:after="0"/>
              <w:ind w:left="0" w:firstLine="0"/>
              <w:jc w:val="left"/>
              <w:rPr>
                <w:rFonts w:cstheme="minorHAnsi"/>
                <w:sz w:val="20"/>
                <w:szCs w:val="20"/>
                <w:lang w:val="de-DE"/>
              </w:rPr>
            </w:pPr>
            <w:r w:rsidRPr="005F6FAE">
              <w:rPr>
                <w:rFonts w:cstheme="minorHAnsi"/>
                <w:sz w:val="20"/>
                <w:szCs w:val="20"/>
                <w:lang w:val="de-DE"/>
              </w:rPr>
              <w:t>PN-EN 50110-1:2005</w:t>
            </w:r>
          </w:p>
        </w:tc>
        <w:tc>
          <w:tcPr>
            <w:tcW w:w="6946" w:type="dxa"/>
            <w:vAlign w:val="center"/>
          </w:tcPr>
          <w:p w14:paraId="55DA05E6"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Eksploatacja urządzeń elektrycznych.</w:t>
            </w:r>
          </w:p>
        </w:tc>
      </w:tr>
      <w:tr w:rsidR="000C7774" w:rsidRPr="005F6FAE" w14:paraId="60C023D9" w14:textId="77777777" w:rsidTr="00D2360B">
        <w:trPr>
          <w:cantSplit/>
          <w:trHeight w:val="397"/>
        </w:trPr>
        <w:tc>
          <w:tcPr>
            <w:tcW w:w="2410" w:type="dxa"/>
            <w:vAlign w:val="center"/>
          </w:tcPr>
          <w:p w14:paraId="1B50C16F" w14:textId="77777777" w:rsidR="004F605A" w:rsidRPr="005F6FAE" w:rsidRDefault="004F605A" w:rsidP="00D2360B">
            <w:pPr>
              <w:pStyle w:val="Bezodstpw"/>
              <w:spacing w:before="0" w:after="0"/>
              <w:ind w:left="0" w:firstLine="0"/>
              <w:jc w:val="left"/>
              <w:rPr>
                <w:rFonts w:cstheme="minorHAnsi"/>
                <w:sz w:val="20"/>
                <w:szCs w:val="20"/>
                <w:lang w:val="de-DE"/>
              </w:rPr>
            </w:pPr>
            <w:r w:rsidRPr="005F6FAE">
              <w:rPr>
                <w:rFonts w:cstheme="minorHAnsi"/>
                <w:sz w:val="20"/>
                <w:szCs w:val="20"/>
              </w:rPr>
              <w:t>PN-EN 50341–3-22: 2005</w:t>
            </w:r>
          </w:p>
        </w:tc>
        <w:tc>
          <w:tcPr>
            <w:tcW w:w="6946" w:type="dxa"/>
            <w:vAlign w:val="center"/>
          </w:tcPr>
          <w:p w14:paraId="04197C3F" w14:textId="77777777" w:rsidR="004F605A" w:rsidRPr="005F6FAE" w:rsidRDefault="004F605A" w:rsidP="00056C38">
            <w:pPr>
              <w:pStyle w:val="Styl8"/>
              <w:numPr>
                <w:ilvl w:val="0"/>
                <w:numId w:val="0"/>
              </w:numPr>
              <w:spacing w:before="0" w:after="0"/>
              <w:rPr>
                <w:rFonts w:asciiTheme="minorHAnsi" w:hAnsiTheme="minorHAnsi" w:cstheme="minorHAnsi"/>
                <w:i/>
                <w:color w:val="auto"/>
                <w:sz w:val="20"/>
              </w:rPr>
            </w:pPr>
            <w:r w:rsidRPr="005F6FAE">
              <w:rPr>
                <w:rFonts w:asciiTheme="minorHAnsi" w:hAnsiTheme="minorHAnsi" w:cstheme="minorHAnsi"/>
                <w:i/>
                <w:color w:val="auto"/>
                <w:sz w:val="20"/>
              </w:rPr>
              <w:t>Elektroenergetyczne linie napowietrzne prądu przemiennego powyżej 45kV</w:t>
            </w:r>
          </w:p>
        </w:tc>
      </w:tr>
      <w:tr w:rsidR="000C7774" w:rsidRPr="005F6FAE" w14:paraId="7195838D" w14:textId="77777777" w:rsidTr="00D2360B">
        <w:trPr>
          <w:cantSplit/>
          <w:trHeight w:val="397"/>
        </w:trPr>
        <w:tc>
          <w:tcPr>
            <w:tcW w:w="2410" w:type="dxa"/>
            <w:vAlign w:val="center"/>
          </w:tcPr>
          <w:p w14:paraId="462C270E" w14:textId="77777777" w:rsidR="004F605A" w:rsidRPr="005F6FAE" w:rsidRDefault="004F605A" w:rsidP="00D2360B">
            <w:pPr>
              <w:pStyle w:val="Bezodstpw"/>
              <w:spacing w:before="0" w:after="0"/>
              <w:ind w:left="0" w:firstLine="0"/>
              <w:jc w:val="left"/>
              <w:rPr>
                <w:rFonts w:cstheme="minorHAnsi"/>
                <w:sz w:val="20"/>
                <w:szCs w:val="20"/>
                <w:lang w:val="de-DE"/>
              </w:rPr>
            </w:pPr>
            <w:r w:rsidRPr="005F6FAE">
              <w:rPr>
                <w:rFonts w:cstheme="minorHAnsi"/>
                <w:sz w:val="20"/>
                <w:szCs w:val="20"/>
              </w:rPr>
              <w:lastRenderedPageBreak/>
              <w:t>PN-EN 50341–3-22</w:t>
            </w:r>
          </w:p>
        </w:tc>
        <w:tc>
          <w:tcPr>
            <w:tcW w:w="6946" w:type="dxa"/>
            <w:vAlign w:val="center"/>
          </w:tcPr>
          <w:p w14:paraId="26E31B28"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Elektroenergetyczne linie napowietrzne prądu przemiennego powyżej 45kV. Część 3: Zbiór normatywnych warunków krajowych</w:t>
            </w:r>
          </w:p>
        </w:tc>
      </w:tr>
      <w:tr w:rsidR="000C7774" w:rsidRPr="005F6FAE" w14:paraId="37AAF789" w14:textId="77777777" w:rsidTr="00D2360B">
        <w:trPr>
          <w:cantSplit/>
          <w:trHeight w:val="397"/>
        </w:trPr>
        <w:tc>
          <w:tcPr>
            <w:tcW w:w="2410" w:type="dxa"/>
            <w:vAlign w:val="center"/>
          </w:tcPr>
          <w:p w14:paraId="0FE4B701" w14:textId="77777777" w:rsidR="004F605A" w:rsidRPr="005F6FAE" w:rsidRDefault="004F605A" w:rsidP="00D2360B">
            <w:pPr>
              <w:pStyle w:val="Bezodstpw"/>
              <w:spacing w:before="0" w:after="0"/>
              <w:ind w:left="0" w:firstLine="0"/>
              <w:jc w:val="left"/>
              <w:rPr>
                <w:rFonts w:cstheme="minorHAnsi"/>
                <w:sz w:val="20"/>
                <w:szCs w:val="20"/>
                <w:lang w:val="de-DE"/>
              </w:rPr>
            </w:pPr>
            <w:r w:rsidRPr="005F6FAE">
              <w:rPr>
                <w:rFonts w:cstheme="minorHAnsi"/>
                <w:sz w:val="20"/>
                <w:szCs w:val="20"/>
              </w:rPr>
              <w:t>PN-EN 50423-1</w:t>
            </w:r>
          </w:p>
        </w:tc>
        <w:tc>
          <w:tcPr>
            <w:tcW w:w="6946" w:type="dxa"/>
            <w:vAlign w:val="center"/>
          </w:tcPr>
          <w:p w14:paraId="544D61BA"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Elektroenergetyczne linie napowietrzne prądu przemiennego powyżej 1kV do 45kV włącznie</w:t>
            </w:r>
          </w:p>
        </w:tc>
      </w:tr>
      <w:tr w:rsidR="000C7774" w:rsidRPr="005F6FAE" w14:paraId="3309C6B2" w14:textId="77777777" w:rsidTr="00D2360B">
        <w:trPr>
          <w:cantSplit/>
          <w:trHeight w:val="397"/>
        </w:trPr>
        <w:tc>
          <w:tcPr>
            <w:tcW w:w="2410" w:type="dxa"/>
            <w:vAlign w:val="center"/>
          </w:tcPr>
          <w:p w14:paraId="34E709E1"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N SEP-E-003</w:t>
            </w:r>
          </w:p>
        </w:tc>
        <w:tc>
          <w:tcPr>
            <w:tcW w:w="6946" w:type="dxa"/>
            <w:vAlign w:val="center"/>
          </w:tcPr>
          <w:p w14:paraId="1E72BEAD"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Elektroenergetyczne linie napowietrzne prąd</w:t>
            </w:r>
            <w:r w:rsidR="00770CEC" w:rsidRPr="005F6FAE">
              <w:rPr>
                <w:rFonts w:cstheme="minorHAnsi"/>
                <w:i/>
                <w:sz w:val="20"/>
                <w:szCs w:val="20"/>
              </w:rPr>
              <w:t>u przemiennego. Projektowanie i </w:t>
            </w:r>
            <w:r w:rsidRPr="005F6FAE">
              <w:rPr>
                <w:rFonts w:cstheme="minorHAnsi"/>
                <w:i/>
                <w:sz w:val="20"/>
                <w:szCs w:val="20"/>
              </w:rPr>
              <w:t xml:space="preserve">budowa. Linie prądu przemiennego z przewodami </w:t>
            </w:r>
            <w:proofErr w:type="spellStart"/>
            <w:r w:rsidRPr="005F6FAE">
              <w:rPr>
                <w:rFonts w:cstheme="minorHAnsi"/>
                <w:i/>
                <w:sz w:val="20"/>
                <w:szCs w:val="20"/>
              </w:rPr>
              <w:t>pełnoizolowanymi</w:t>
            </w:r>
            <w:proofErr w:type="spellEnd"/>
            <w:r w:rsidRPr="005F6FAE">
              <w:rPr>
                <w:rFonts w:cstheme="minorHAnsi"/>
                <w:i/>
                <w:sz w:val="20"/>
                <w:szCs w:val="20"/>
              </w:rPr>
              <w:t xml:space="preserve"> ora</w:t>
            </w:r>
            <w:r w:rsidR="00770CEC" w:rsidRPr="005F6FAE">
              <w:rPr>
                <w:rFonts w:cstheme="minorHAnsi"/>
                <w:i/>
                <w:sz w:val="20"/>
                <w:szCs w:val="20"/>
              </w:rPr>
              <w:t>z </w:t>
            </w:r>
            <w:proofErr w:type="spellStart"/>
            <w:r w:rsidRPr="005F6FAE">
              <w:rPr>
                <w:rFonts w:cstheme="minorHAnsi"/>
                <w:i/>
                <w:sz w:val="20"/>
                <w:szCs w:val="20"/>
              </w:rPr>
              <w:t>niepełnoizolowanymi</w:t>
            </w:r>
            <w:proofErr w:type="spellEnd"/>
            <w:r w:rsidRPr="005F6FAE">
              <w:rPr>
                <w:rFonts w:cstheme="minorHAnsi"/>
                <w:i/>
                <w:sz w:val="20"/>
                <w:szCs w:val="20"/>
              </w:rPr>
              <w:t xml:space="preserve"> – dla sieci </w:t>
            </w:r>
            <w:proofErr w:type="spellStart"/>
            <w:r w:rsidRPr="005F6FAE">
              <w:rPr>
                <w:rFonts w:cstheme="minorHAnsi"/>
                <w:i/>
                <w:sz w:val="20"/>
                <w:szCs w:val="20"/>
              </w:rPr>
              <w:t>nN</w:t>
            </w:r>
            <w:proofErr w:type="spellEnd"/>
          </w:p>
        </w:tc>
      </w:tr>
      <w:tr w:rsidR="000C7774" w:rsidRPr="005F6FAE" w14:paraId="6A7EAAD0" w14:textId="77777777" w:rsidTr="00D2360B">
        <w:trPr>
          <w:cantSplit/>
          <w:trHeight w:val="397"/>
        </w:trPr>
        <w:tc>
          <w:tcPr>
            <w:tcW w:w="2410" w:type="dxa"/>
            <w:vAlign w:val="center"/>
          </w:tcPr>
          <w:p w14:paraId="191857F5"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PN-E-5100-1: 1998</w:t>
            </w:r>
          </w:p>
        </w:tc>
        <w:tc>
          <w:tcPr>
            <w:tcW w:w="6946" w:type="dxa"/>
            <w:vAlign w:val="center"/>
          </w:tcPr>
          <w:p w14:paraId="55F31BCF"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 xml:space="preserve">Elektroenergetyczne linie napowietrzne. Projektowanie i budowa. Linie prądu przemiennego z przewodami roboczymi gołymi – dla sieci </w:t>
            </w:r>
            <w:proofErr w:type="spellStart"/>
            <w:r w:rsidRPr="005F6FAE">
              <w:rPr>
                <w:rFonts w:cstheme="minorHAnsi"/>
                <w:i/>
                <w:sz w:val="20"/>
                <w:szCs w:val="20"/>
              </w:rPr>
              <w:t>nN</w:t>
            </w:r>
            <w:proofErr w:type="spellEnd"/>
          </w:p>
        </w:tc>
      </w:tr>
      <w:tr w:rsidR="000C7774" w:rsidRPr="005F6FAE" w14:paraId="3F0AF914" w14:textId="77777777" w:rsidTr="00D2360B">
        <w:trPr>
          <w:cantSplit/>
          <w:trHeight w:val="397"/>
        </w:trPr>
        <w:tc>
          <w:tcPr>
            <w:tcW w:w="2410" w:type="dxa"/>
            <w:vAlign w:val="center"/>
          </w:tcPr>
          <w:p w14:paraId="186BECDE"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PN-EN 60865-1:2002</w:t>
            </w:r>
          </w:p>
        </w:tc>
        <w:tc>
          <w:tcPr>
            <w:tcW w:w="6946" w:type="dxa"/>
            <w:vAlign w:val="center"/>
          </w:tcPr>
          <w:p w14:paraId="7F6ACB6C"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Obliczenia skutków prądów zwarciowych</w:t>
            </w:r>
          </w:p>
        </w:tc>
      </w:tr>
      <w:tr w:rsidR="000C7774" w:rsidRPr="005F6FAE" w14:paraId="24964A79" w14:textId="77777777" w:rsidTr="00D2360B">
        <w:trPr>
          <w:cantSplit/>
          <w:trHeight w:val="397"/>
        </w:trPr>
        <w:tc>
          <w:tcPr>
            <w:tcW w:w="2410" w:type="dxa"/>
            <w:vAlign w:val="center"/>
          </w:tcPr>
          <w:p w14:paraId="23023E12"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PN-E-04700:1998</w:t>
            </w:r>
          </w:p>
        </w:tc>
        <w:tc>
          <w:tcPr>
            <w:tcW w:w="6946" w:type="dxa"/>
            <w:vAlign w:val="center"/>
          </w:tcPr>
          <w:p w14:paraId="28140F28"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 xml:space="preserve">Urządzenia i układy elektryczne w obiektach elektroenergetycznych. Wytyczne przeprowadzania </w:t>
            </w:r>
            <w:proofErr w:type="spellStart"/>
            <w:r w:rsidRPr="005F6FAE">
              <w:rPr>
                <w:rFonts w:cstheme="minorHAnsi"/>
                <w:i/>
                <w:sz w:val="20"/>
                <w:szCs w:val="20"/>
              </w:rPr>
              <w:t>pomontażowych</w:t>
            </w:r>
            <w:proofErr w:type="spellEnd"/>
            <w:r w:rsidRPr="005F6FAE">
              <w:rPr>
                <w:rFonts w:cstheme="minorHAnsi"/>
                <w:i/>
                <w:sz w:val="20"/>
                <w:szCs w:val="20"/>
              </w:rPr>
              <w:t xml:space="preserve"> badań odbiorczych</w:t>
            </w:r>
          </w:p>
        </w:tc>
      </w:tr>
      <w:tr w:rsidR="000C7774" w:rsidRPr="005F6FAE" w14:paraId="63B82A05" w14:textId="77777777" w:rsidTr="00D2360B">
        <w:trPr>
          <w:cantSplit/>
          <w:trHeight w:val="397"/>
        </w:trPr>
        <w:tc>
          <w:tcPr>
            <w:tcW w:w="2410" w:type="dxa"/>
            <w:vAlign w:val="center"/>
          </w:tcPr>
          <w:p w14:paraId="34B3CEBD"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PN-EN 60270:2003</w:t>
            </w:r>
          </w:p>
        </w:tc>
        <w:tc>
          <w:tcPr>
            <w:tcW w:w="6946" w:type="dxa"/>
            <w:vAlign w:val="center"/>
          </w:tcPr>
          <w:p w14:paraId="710EE6C6" w14:textId="77777777" w:rsidR="004F605A" w:rsidRPr="005F6FAE" w:rsidRDefault="004F605A" w:rsidP="00056C38">
            <w:pPr>
              <w:pStyle w:val="Styl8"/>
              <w:numPr>
                <w:ilvl w:val="0"/>
                <w:numId w:val="0"/>
              </w:numPr>
              <w:spacing w:before="0" w:after="0"/>
              <w:rPr>
                <w:rFonts w:asciiTheme="minorHAnsi" w:hAnsiTheme="minorHAnsi" w:cstheme="minorHAnsi"/>
                <w:i/>
                <w:color w:val="auto"/>
                <w:sz w:val="20"/>
              </w:rPr>
            </w:pPr>
            <w:r w:rsidRPr="005F6FAE">
              <w:rPr>
                <w:rFonts w:asciiTheme="minorHAnsi" w:hAnsiTheme="minorHAnsi" w:cstheme="minorHAnsi"/>
                <w:i/>
                <w:color w:val="auto"/>
                <w:sz w:val="20"/>
              </w:rPr>
              <w:t xml:space="preserve">Wysokonapięciowa technika probiercza - Pomiary wyładowań niezupełnych. </w:t>
            </w:r>
          </w:p>
        </w:tc>
      </w:tr>
      <w:tr w:rsidR="000C7774" w:rsidRPr="005F6FAE" w14:paraId="731F92AB" w14:textId="77777777" w:rsidTr="00D2360B">
        <w:trPr>
          <w:cantSplit/>
          <w:trHeight w:val="397"/>
        </w:trPr>
        <w:tc>
          <w:tcPr>
            <w:tcW w:w="2410" w:type="dxa"/>
            <w:vAlign w:val="center"/>
          </w:tcPr>
          <w:p w14:paraId="2B30F7D4" w14:textId="77777777" w:rsidR="004F605A" w:rsidRPr="005F6FAE" w:rsidRDefault="004F605A" w:rsidP="00D2360B">
            <w:pPr>
              <w:pStyle w:val="Bezodstpw"/>
              <w:spacing w:before="0" w:after="0"/>
              <w:ind w:left="0" w:firstLine="0"/>
              <w:jc w:val="left"/>
              <w:rPr>
                <w:rFonts w:cstheme="minorHAnsi"/>
                <w:sz w:val="20"/>
                <w:szCs w:val="20"/>
              </w:rPr>
            </w:pPr>
            <w:r w:rsidRPr="005F6FAE">
              <w:rPr>
                <w:rFonts w:cstheme="minorHAnsi"/>
                <w:sz w:val="20"/>
                <w:szCs w:val="20"/>
              </w:rPr>
              <w:t>PN-E-06303:1998</w:t>
            </w:r>
          </w:p>
        </w:tc>
        <w:tc>
          <w:tcPr>
            <w:tcW w:w="6946" w:type="dxa"/>
            <w:vAlign w:val="center"/>
          </w:tcPr>
          <w:p w14:paraId="10A05D14"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Narażenie zabrudzeniowe izolacji napowietrznej i dobór izolatorów do warunków zabrudzeniowych.</w:t>
            </w:r>
          </w:p>
        </w:tc>
      </w:tr>
    </w:tbl>
    <w:p w14:paraId="1D4A9220" w14:textId="77777777" w:rsidR="004F605A" w:rsidRPr="005F6FAE" w:rsidRDefault="004F605A" w:rsidP="00511E62">
      <w:pPr>
        <w:pStyle w:val="Akapitzlist"/>
        <w:widowControl w:val="0"/>
        <w:numPr>
          <w:ilvl w:val="0"/>
          <w:numId w:val="12"/>
        </w:numPr>
        <w:autoSpaceDE w:val="0"/>
        <w:autoSpaceDN w:val="0"/>
        <w:adjustRightInd w:val="0"/>
        <w:spacing w:line="276" w:lineRule="auto"/>
        <w:ind w:left="1037" w:hanging="357"/>
        <w:rPr>
          <w:rFonts w:asciiTheme="minorHAnsi" w:eastAsiaTheme="minorEastAsia" w:hAnsiTheme="minorHAnsi" w:cstheme="minorHAnsi"/>
          <w:sz w:val="22"/>
          <w:szCs w:val="22"/>
          <w:lang w:eastAsia="en-US"/>
        </w:rPr>
      </w:pPr>
      <w:r w:rsidRPr="005F6FAE">
        <w:rPr>
          <w:rFonts w:asciiTheme="minorHAnsi" w:eastAsiaTheme="minorEastAsia" w:hAnsiTheme="minorHAnsi" w:cstheme="minorHAnsi"/>
          <w:sz w:val="22"/>
          <w:szCs w:val="22"/>
          <w:lang w:eastAsia="en-US"/>
        </w:rPr>
        <w:t>Normy dla traktów światłowodowych:</w:t>
      </w:r>
    </w:p>
    <w:tbl>
      <w:tblPr>
        <w:tblW w:w="9356" w:type="dxa"/>
        <w:tblInd w:w="70"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6946"/>
      </w:tblGrid>
      <w:tr w:rsidR="000C7774" w:rsidRPr="005F6FAE" w14:paraId="5AD335BA" w14:textId="77777777" w:rsidTr="00D2360B">
        <w:trPr>
          <w:cantSplit/>
          <w:trHeight w:val="340"/>
        </w:trPr>
        <w:tc>
          <w:tcPr>
            <w:tcW w:w="2410" w:type="dxa"/>
            <w:tcBorders>
              <w:bottom w:val="single" w:sz="4" w:space="0" w:color="auto"/>
            </w:tcBorders>
            <w:shd w:val="clear" w:color="auto" w:fill="auto"/>
            <w:vAlign w:val="center"/>
          </w:tcPr>
          <w:p w14:paraId="50D48D99" w14:textId="77777777" w:rsidR="004F605A" w:rsidRPr="005F6FAE" w:rsidRDefault="004F605A" w:rsidP="00157809">
            <w:pPr>
              <w:pStyle w:val="Bezodstpw"/>
              <w:rPr>
                <w:rFonts w:cstheme="minorHAnsi"/>
                <w:b/>
              </w:rPr>
            </w:pPr>
            <w:r w:rsidRPr="005F6FAE">
              <w:rPr>
                <w:rFonts w:cstheme="minorHAnsi"/>
                <w:b/>
              </w:rPr>
              <w:t>Nr normy</w:t>
            </w:r>
          </w:p>
        </w:tc>
        <w:tc>
          <w:tcPr>
            <w:tcW w:w="6946" w:type="dxa"/>
            <w:tcBorders>
              <w:bottom w:val="single" w:sz="4" w:space="0" w:color="auto"/>
            </w:tcBorders>
            <w:shd w:val="clear" w:color="auto" w:fill="auto"/>
            <w:vAlign w:val="center"/>
          </w:tcPr>
          <w:p w14:paraId="0548F45D" w14:textId="77777777" w:rsidR="004F605A" w:rsidRPr="005F6FAE" w:rsidRDefault="004F605A" w:rsidP="00157809">
            <w:pPr>
              <w:pStyle w:val="Bezodstpw"/>
              <w:rPr>
                <w:rFonts w:cstheme="minorHAnsi"/>
                <w:b/>
              </w:rPr>
            </w:pPr>
            <w:r w:rsidRPr="005F6FAE">
              <w:rPr>
                <w:rFonts w:cstheme="minorHAnsi"/>
                <w:b/>
              </w:rPr>
              <w:t>Nazwa</w:t>
            </w:r>
          </w:p>
        </w:tc>
      </w:tr>
      <w:tr w:rsidR="000C7774" w:rsidRPr="005F6FAE" w14:paraId="0871A88A" w14:textId="77777777" w:rsidTr="00D2360B">
        <w:trPr>
          <w:cantSplit/>
          <w:trHeight w:val="340"/>
        </w:trPr>
        <w:tc>
          <w:tcPr>
            <w:tcW w:w="2410" w:type="dxa"/>
            <w:tcBorders>
              <w:top w:val="single" w:sz="4" w:space="0" w:color="auto"/>
            </w:tcBorders>
            <w:vAlign w:val="center"/>
          </w:tcPr>
          <w:p w14:paraId="73C10545"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PN-IEC 60331</w:t>
            </w:r>
          </w:p>
        </w:tc>
        <w:tc>
          <w:tcPr>
            <w:tcW w:w="6946" w:type="dxa"/>
            <w:tcBorders>
              <w:top w:val="single" w:sz="4" w:space="0" w:color="auto"/>
            </w:tcBorders>
            <w:vAlign w:val="center"/>
          </w:tcPr>
          <w:p w14:paraId="4EF42D10"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Badania kabli i przewodów elektrycznych poddanych działaniu ognia.</w:t>
            </w:r>
          </w:p>
        </w:tc>
      </w:tr>
      <w:tr w:rsidR="000C7774" w:rsidRPr="005F6FAE" w14:paraId="207F19DA" w14:textId="77777777" w:rsidTr="00D2360B">
        <w:trPr>
          <w:cantSplit/>
          <w:trHeight w:val="340"/>
        </w:trPr>
        <w:tc>
          <w:tcPr>
            <w:tcW w:w="2410" w:type="dxa"/>
            <w:vAlign w:val="center"/>
          </w:tcPr>
          <w:p w14:paraId="0B5B74ED" w14:textId="77777777" w:rsidR="004F605A" w:rsidRPr="005F6FAE" w:rsidRDefault="004F605A" w:rsidP="00056C38">
            <w:pPr>
              <w:pStyle w:val="Bezodstpw"/>
              <w:spacing w:before="0" w:after="0"/>
              <w:rPr>
                <w:rFonts w:cstheme="minorHAnsi"/>
                <w:sz w:val="20"/>
                <w:szCs w:val="20"/>
              </w:rPr>
            </w:pPr>
            <w:r w:rsidRPr="005F6FAE">
              <w:rPr>
                <w:rFonts w:cstheme="minorHAnsi"/>
                <w:sz w:val="20"/>
                <w:szCs w:val="20"/>
              </w:rPr>
              <w:t>PN-EN 60793-1</w:t>
            </w:r>
          </w:p>
        </w:tc>
        <w:tc>
          <w:tcPr>
            <w:tcW w:w="6946" w:type="dxa"/>
            <w:vAlign w:val="center"/>
          </w:tcPr>
          <w:p w14:paraId="4EA163D1"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Włókna światłowodowe. Cz.1. Metody badań.</w:t>
            </w:r>
          </w:p>
        </w:tc>
      </w:tr>
      <w:tr w:rsidR="000C7774" w:rsidRPr="005F6FAE" w14:paraId="1AE4C14D" w14:textId="77777777" w:rsidTr="00D2360B">
        <w:trPr>
          <w:cantSplit/>
          <w:trHeight w:val="340"/>
        </w:trPr>
        <w:tc>
          <w:tcPr>
            <w:tcW w:w="2410" w:type="dxa"/>
            <w:vAlign w:val="center"/>
          </w:tcPr>
          <w:p w14:paraId="470F7A44"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PN-EN 60793-2</w:t>
            </w:r>
          </w:p>
        </w:tc>
        <w:tc>
          <w:tcPr>
            <w:tcW w:w="6946" w:type="dxa"/>
            <w:vAlign w:val="center"/>
          </w:tcPr>
          <w:p w14:paraId="37D253C7"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Światłowody. Cz.2. Specyfikacja wyrobu.</w:t>
            </w:r>
          </w:p>
        </w:tc>
      </w:tr>
      <w:tr w:rsidR="000C7774" w:rsidRPr="005F6FAE" w14:paraId="2DAB5B02" w14:textId="77777777" w:rsidTr="00D2360B">
        <w:trPr>
          <w:cantSplit/>
          <w:trHeight w:val="340"/>
        </w:trPr>
        <w:tc>
          <w:tcPr>
            <w:tcW w:w="2410" w:type="dxa"/>
            <w:vAlign w:val="center"/>
          </w:tcPr>
          <w:p w14:paraId="54D86FCD"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PN-EN 60794-1</w:t>
            </w:r>
          </w:p>
        </w:tc>
        <w:tc>
          <w:tcPr>
            <w:tcW w:w="6946" w:type="dxa"/>
            <w:vAlign w:val="center"/>
          </w:tcPr>
          <w:p w14:paraId="0E45FA98"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Kable światłowodowe. Cz. 1. Wymagania wspólne.</w:t>
            </w:r>
          </w:p>
        </w:tc>
      </w:tr>
      <w:tr w:rsidR="000C7774" w:rsidRPr="005F6FAE" w14:paraId="1316A1CF" w14:textId="77777777" w:rsidTr="00D2360B">
        <w:trPr>
          <w:cantSplit/>
          <w:trHeight w:val="340"/>
        </w:trPr>
        <w:tc>
          <w:tcPr>
            <w:tcW w:w="2410" w:type="dxa"/>
            <w:vAlign w:val="center"/>
          </w:tcPr>
          <w:p w14:paraId="21CF21A3"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PN-EN 60794-2</w:t>
            </w:r>
          </w:p>
        </w:tc>
        <w:tc>
          <w:tcPr>
            <w:tcW w:w="6946" w:type="dxa"/>
            <w:vAlign w:val="center"/>
          </w:tcPr>
          <w:p w14:paraId="224A2FC0"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Kable światłowodowe.</w:t>
            </w:r>
            <w:r w:rsidR="00770CEC" w:rsidRPr="005F6FAE">
              <w:rPr>
                <w:rFonts w:cstheme="minorHAnsi"/>
                <w:i/>
                <w:sz w:val="20"/>
                <w:szCs w:val="20"/>
              </w:rPr>
              <w:t xml:space="preserve"> </w:t>
            </w:r>
            <w:r w:rsidRPr="005F6FAE">
              <w:rPr>
                <w:rFonts w:cstheme="minorHAnsi"/>
                <w:i/>
                <w:sz w:val="20"/>
                <w:szCs w:val="20"/>
              </w:rPr>
              <w:t>Cz. 2. Kable do układania wewnątrz pomieszczeń. Wymagania szczegółowe.</w:t>
            </w:r>
          </w:p>
        </w:tc>
      </w:tr>
      <w:tr w:rsidR="000C7774" w:rsidRPr="005F6FAE" w14:paraId="54D38321" w14:textId="77777777" w:rsidTr="00D2360B">
        <w:trPr>
          <w:cantSplit/>
          <w:trHeight w:val="340"/>
        </w:trPr>
        <w:tc>
          <w:tcPr>
            <w:tcW w:w="2410" w:type="dxa"/>
            <w:vAlign w:val="center"/>
          </w:tcPr>
          <w:p w14:paraId="664A397F"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 S.A.-002</w:t>
            </w:r>
          </w:p>
        </w:tc>
        <w:tc>
          <w:tcPr>
            <w:tcW w:w="6946" w:type="dxa"/>
            <w:vAlign w:val="center"/>
          </w:tcPr>
          <w:p w14:paraId="488C98EC"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Telekomunikacyjne linie kablowe dalekosiężne.</w:t>
            </w:r>
            <w:r w:rsidR="00770CEC" w:rsidRPr="005F6FAE">
              <w:rPr>
                <w:rFonts w:cstheme="minorHAnsi"/>
                <w:i/>
                <w:sz w:val="20"/>
                <w:szCs w:val="20"/>
              </w:rPr>
              <w:t xml:space="preserve"> </w:t>
            </w:r>
            <w:r w:rsidRPr="005F6FAE">
              <w:rPr>
                <w:rFonts w:cstheme="minorHAnsi"/>
                <w:i/>
                <w:sz w:val="20"/>
                <w:szCs w:val="20"/>
              </w:rPr>
              <w:t>Linie optotelekomunikacyjne. Ogólne wymagania techniczne.</w:t>
            </w:r>
          </w:p>
        </w:tc>
      </w:tr>
      <w:tr w:rsidR="000C7774" w:rsidRPr="005F6FAE" w14:paraId="64700664" w14:textId="77777777" w:rsidTr="00D2360B">
        <w:trPr>
          <w:cantSplit/>
          <w:trHeight w:val="340"/>
        </w:trPr>
        <w:tc>
          <w:tcPr>
            <w:tcW w:w="2410" w:type="dxa"/>
            <w:vAlign w:val="center"/>
          </w:tcPr>
          <w:p w14:paraId="515A6A52"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 S.A.-004</w:t>
            </w:r>
          </w:p>
        </w:tc>
        <w:tc>
          <w:tcPr>
            <w:tcW w:w="6946" w:type="dxa"/>
            <w:vAlign w:val="center"/>
          </w:tcPr>
          <w:p w14:paraId="14ADA3C2"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Telekomunikacyjne linie kablowe.</w:t>
            </w:r>
            <w:r w:rsidR="00770CEC" w:rsidRPr="005F6FAE">
              <w:rPr>
                <w:rFonts w:cstheme="minorHAnsi"/>
                <w:i/>
                <w:sz w:val="20"/>
                <w:szCs w:val="20"/>
              </w:rPr>
              <w:t xml:space="preserve"> </w:t>
            </w:r>
            <w:r w:rsidRPr="005F6FAE">
              <w:rPr>
                <w:rFonts w:cstheme="minorHAnsi"/>
                <w:i/>
                <w:sz w:val="20"/>
                <w:szCs w:val="20"/>
              </w:rPr>
              <w:t>Zbliżenia i skrzyżowania z innymi urządzeniami uzbrojenia terenowego. Ogólne wymagania i badania.</w:t>
            </w:r>
          </w:p>
        </w:tc>
      </w:tr>
      <w:tr w:rsidR="000C7774" w:rsidRPr="005F6FAE" w14:paraId="56A745EA" w14:textId="77777777" w:rsidTr="00D2360B">
        <w:trPr>
          <w:cantSplit/>
          <w:trHeight w:val="340"/>
        </w:trPr>
        <w:tc>
          <w:tcPr>
            <w:tcW w:w="2410" w:type="dxa"/>
            <w:vAlign w:val="center"/>
          </w:tcPr>
          <w:p w14:paraId="38B21E05"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 S.A.-005</w:t>
            </w:r>
          </w:p>
        </w:tc>
        <w:tc>
          <w:tcPr>
            <w:tcW w:w="6946" w:type="dxa"/>
            <w:vAlign w:val="center"/>
          </w:tcPr>
          <w:p w14:paraId="24366AAD"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Kable optotelekomunikacyjne. Wymagania i badania.</w:t>
            </w:r>
          </w:p>
        </w:tc>
      </w:tr>
      <w:tr w:rsidR="000C7774" w:rsidRPr="005F6FAE" w14:paraId="67438F89" w14:textId="77777777" w:rsidTr="00D2360B">
        <w:trPr>
          <w:cantSplit/>
          <w:trHeight w:val="340"/>
        </w:trPr>
        <w:tc>
          <w:tcPr>
            <w:tcW w:w="2410" w:type="dxa"/>
            <w:vAlign w:val="center"/>
          </w:tcPr>
          <w:p w14:paraId="6A31FE64"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 S.A.-007</w:t>
            </w:r>
          </w:p>
        </w:tc>
        <w:tc>
          <w:tcPr>
            <w:tcW w:w="6946" w:type="dxa"/>
            <w:vAlign w:val="center"/>
          </w:tcPr>
          <w:p w14:paraId="1AF9411C"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Złączki światłowodowe i kable stacyjne. Wymagania i badania.</w:t>
            </w:r>
          </w:p>
        </w:tc>
      </w:tr>
      <w:tr w:rsidR="000C7774" w:rsidRPr="005F6FAE" w14:paraId="46A85BB8" w14:textId="77777777" w:rsidTr="00D2360B">
        <w:trPr>
          <w:cantSplit/>
          <w:trHeight w:val="340"/>
        </w:trPr>
        <w:tc>
          <w:tcPr>
            <w:tcW w:w="2410" w:type="dxa"/>
            <w:vAlign w:val="center"/>
          </w:tcPr>
          <w:p w14:paraId="25E655BC"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 S.A.-013</w:t>
            </w:r>
          </w:p>
        </w:tc>
        <w:tc>
          <w:tcPr>
            <w:tcW w:w="6946" w:type="dxa"/>
            <w:vAlign w:val="center"/>
          </w:tcPr>
          <w:p w14:paraId="1073D468"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Telekomunikacyjna kanalizacja kablowa.</w:t>
            </w:r>
            <w:r w:rsidR="00770CEC" w:rsidRPr="005F6FAE">
              <w:rPr>
                <w:rFonts w:cstheme="minorHAnsi"/>
                <w:i/>
                <w:sz w:val="20"/>
                <w:szCs w:val="20"/>
              </w:rPr>
              <w:t xml:space="preserve"> </w:t>
            </w:r>
            <w:r w:rsidRPr="005F6FAE">
              <w:rPr>
                <w:rFonts w:cstheme="minorHAnsi"/>
                <w:i/>
                <w:sz w:val="20"/>
                <w:szCs w:val="20"/>
              </w:rPr>
              <w:t>Kanalizacja wtórna i rurociągi kablowe. Wymagania i badania.</w:t>
            </w:r>
          </w:p>
        </w:tc>
      </w:tr>
      <w:tr w:rsidR="000C7774" w:rsidRPr="005F6FAE" w14:paraId="75C0C505" w14:textId="77777777" w:rsidTr="00D2360B">
        <w:trPr>
          <w:cantSplit/>
          <w:trHeight w:val="340"/>
        </w:trPr>
        <w:tc>
          <w:tcPr>
            <w:tcW w:w="2410" w:type="dxa"/>
            <w:vAlign w:val="center"/>
          </w:tcPr>
          <w:p w14:paraId="43D375B0"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ZN-96/TPSA-017</w:t>
            </w:r>
          </w:p>
        </w:tc>
        <w:tc>
          <w:tcPr>
            <w:tcW w:w="6946" w:type="dxa"/>
            <w:vAlign w:val="center"/>
          </w:tcPr>
          <w:p w14:paraId="2256C498"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Telekomunikacyjna kanalizacja kablowa. Rury kanalizacji wtórnej i rurociągu kablowego (RHDPE).</w:t>
            </w:r>
          </w:p>
        </w:tc>
      </w:tr>
      <w:tr w:rsidR="000C7774" w:rsidRPr="005F6FAE" w14:paraId="56F71193" w14:textId="77777777" w:rsidTr="00D2360B">
        <w:trPr>
          <w:cantSplit/>
          <w:trHeight w:val="340"/>
        </w:trPr>
        <w:tc>
          <w:tcPr>
            <w:tcW w:w="2410" w:type="dxa"/>
            <w:vAlign w:val="center"/>
          </w:tcPr>
          <w:p w14:paraId="7F534DCB"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ZN-96/TPSA-019</w:t>
            </w:r>
          </w:p>
        </w:tc>
        <w:tc>
          <w:tcPr>
            <w:tcW w:w="6946" w:type="dxa"/>
            <w:vAlign w:val="center"/>
          </w:tcPr>
          <w:p w14:paraId="39DC640D"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Telekomunikacyjna kanalizacja kablowa. Rury trudnopalne (</w:t>
            </w:r>
            <w:proofErr w:type="spellStart"/>
            <w:r w:rsidRPr="005F6FAE">
              <w:rPr>
                <w:rFonts w:cstheme="minorHAnsi"/>
                <w:i/>
                <w:sz w:val="20"/>
                <w:szCs w:val="20"/>
              </w:rPr>
              <w:t>RHDPEt</w:t>
            </w:r>
            <w:proofErr w:type="spellEnd"/>
            <w:r w:rsidRPr="005F6FAE">
              <w:rPr>
                <w:rFonts w:cstheme="minorHAnsi"/>
                <w:i/>
                <w:sz w:val="20"/>
                <w:szCs w:val="20"/>
              </w:rPr>
              <w:t>).</w:t>
            </w:r>
          </w:p>
        </w:tc>
      </w:tr>
      <w:tr w:rsidR="000C7774" w:rsidRPr="005F6FAE" w14:paraId="1D82B5DD" w14:textId="77777777" w:rsidTr="00D2360B">
        <w:trPr>
          <w:cantSplit/>
          <w:trHeight w:val="340"/>
        </w:trPr>
        <w:tc>
          <w:tcPr>
            <w:tcW w:w="2410" w:type="dxa"/>
            <w:vAlign w:val="center"/>
          </w:tcPr>
          <w:p w14:paraId="5F6A1FD9" w14:textId="77777777" w:rsidR="004F605A" w:rsidRPr="005F6FAE" w:rsidRDefault="004F605A" w:rsidP="00056C38">
            <w:pPr>
              <w:pStyle w:val="Bezodstpw"/>
              <w:spacing w:before="0" w:after="0"/>
              <w:rPr>
                <w:rFonts w:cstheme="minorHAnsi"/>
                <w:sz w:val="20"/>
                <w:szCs w:val="20"/>
                <w:lang w:val="de-DE"/>
              </w:rPr>
            </w:pPr>
            <w:r w:rsidRPr="005F6FAE">
              <w:rPr>
                <w:rFonts w:cstheme="minorHAnsi"/>
                <w:sz w:val="20"/>
                <w:szCs w:val="20"/>
                <w:lang w:val="de-DE"/>
              </w:rPr>
              <w:t>ZN-96/TPSA-020</w:t>
            </w:r>
          </w:p>
        </w:tc>
        <w:tc>
          <w:tcPr>
            <w:tcW w:w="6946" w:type="dxa"/>
            <w:vAlign w:val="center"/>
          </w:tcPr>
          <w:p w14:paraId="0554B3CF" w14:textId="77777777" w:rsidR="004F605A" w:rsidRPr="005F6FAE" w:rsidRDefault="004F605A" w:rsidP="00056C38">
            <w:pPr>
              <w:pStyle w:val="Bezodstpw"/>
              <w:spacing w:before="0" w:after="0"/>
              <w:ind w:left="0" w:firstLine="0"/>
              <w:rPr>
                <w:rFonts w:cstheme="minorHAnsi"/>
                <w:i/>
                <w:sz w:val="20"/>
                <w:szCs w:val="20"/>
              </w:rPr>
            </w:pPr>
            <w:r w:rsidRPr="005F6FAE">
              <w:rPr>
                <w:rFonts w:cstheme="minorHAnsi"/>
                <w:i/>
                <w:sz w:val="20"/>
                <w:szCs w:val="20"/>
              </w:rPr>
              <w:t>Złączki rur kanalizacji kablowej. Wymagania i badania.</w:t>
            </w:r>
          </w:p>
        </w:tc>
      </w:tr>
      <w:tr w:rsidR="000C7774" w:rsidRPr="005F6FAE" w14:paraId="7704176A" w14:textId="77777777" w:rsidTr="00D2360B">
        <w:trPr>
          <w:cantSplit/>
          <w:trHeight w:val="340"/>
        </w:trPr>
        <w:tc>
          <w:tcPr>
            <w:tcW w:w="2410" w:type="dxa"/>
            <w:vAlign w:val="center"/>
          </w:tcPr>
          <w:p w14:paraId="3A879276" w14:textId="77777777" w:rsidR="004F605A" w:rsidRPr="005F6FAE" w:rsidRDefault="004F605A" w:rsidP="00056C38">
            <w:pPr>
              <w:pStyle w:val="Bezodstpw"/>
              <w:tabs>
                <w:tab w:val="left" w:pos="993"/>
              </w:tabs>
              <w:spacing w:before="0" w:after="0"/>
              <w:rPr>
                <w:rFonts w:cstheme="minorHAnsi"/>
                <w:sz w:val="20"/>
                <w:szCs w:val="20"/>
                <w:lang w:val="de-DE"/>
              </w:rPr>
            </w:pPr>
            <w:r w:rsidRPr="005F6FAE">
              <w:rPr>
                <w:rFonts w:cstheme="minorHAnsi"/>
                <w:sz w:val="20"/>
                <w:szCs w:val="20"/>
                <w:lang w:val="de-DE"/>
              </w:rPr>
              <w:t>ZN-96/TPSA-025</w:t>
            </w:r>
          </w:p>
        </w:tc>
        <w:tc>
          <w:tcPr>
            <w:tcW w:w="6946" w:type="dxa"/>
            <w:vAlign w:val="center"/>
          </w:tcPr>
          <w:p w14:paraId="7E0A9507" w14:textId="77777777" w:rsidR="004F605A" w:rsidRPr="005F6FAE" w:rsidRDefault="004F605A" w:rsidP="00056C38">
            <w:pPr>
              <w:pStyle w:val="Bezodstpw"/>
              <w:tabs>
                <w:tab w:val="left" w:pos="993"/>
              </w:tabs>
              <w:spacing w:before="0" w:after="0"/>
              <w:ind w:left="0" w:firstLine="0"/>
              <w:rPr>
                <w:rFonts w:cstheme="minorHAnsi"/>
                <w:i/>
                <w:sz w:val="20"/>
                <w:szCs w:val="20"/>
              </w:rPr>
            </w:pPr>
            <w:r w:rsidRPr="005F6FAE">
              <w:rPr>
                <w:rFonts w:cstheme="minorHAnsi"/>
                <w:i/>
                <w:sz w:val="20"/>
                <w:szCs w:val="20"/>
              </w:rPr>
              <w:t>Taśmy ostrzegawcze i ostrzegawczo-lokalizacyjne. Wymagania i badania.</w:t>
            </w:r>
          </w:p>
        </w:tc>
      </w:tr>
    </w:tbl>
    <w:p w14:paraId="65CE422C" w14:textId="77777777" w:rsidR="005E4208" w:rsidRPr="005F6FAE" w:rsidRDefault="005E4208" w:rsidP="005E4208">
      <w:pPr>
        <w:widowControl w:val="0"/>
        <w:spacing w:before="0" w:after="0"/>
        <w:ind w:left="709" w:firstLine="0"/>
        <w:outlineLvl w:val="3"/>
        <w:rPr>
          <w:rFonts w:asciiTheme="minorHAnsi" w:hAnsiTheme="minorHAnsi" w:cstheme="minorHAnsi"/>
          <w:sz w:val="22"/>
          <w:szCs w:val="22"/>
        </w:rPr>
      </w:pPr>
    </w:p>
    <w:p w14:paraId="34CD6C59" w14:textId="77777777" w:rsidR="00887F72" w:rsidRPr="005F6FAE" w:rsidRDefault="00887F72" w:rsidP="00D2360B">
      <w:pPr>
        <w:pStyle w:val="Nagwek2"/>
        <w:spacing w:before="120" w:line="240" w:lineRule="auto"/>
        <w:ind w:left="578" w:hanging="578"/>
        <w:rPr>
          <w:rFonts w:asciiTheme="minorHAnsi" w:hAnsiTheme="minorHAnsi" w:cstheme="minorHAnsi"/>
          <w:i/>
          <w:color w:val="auto"/>
          <w:szCs w:val="22"/>
        </w:rPr>
      </w:pPr>
      <w:bookmarkStart w:id="54" w:name="_Toc399845178"/>
      <w:bookmarkStart w:id="55" w:name="_Toc216678512"/>
      <w:r w:rsidRPr="005F6FAE">
        <w:rPr>
          <w:rFonts w:asciiTheme="minorHAnsi" w:hAnsiTheme="minorHAnsi" w:cstheme="minorHAnsi"/>
          <w:i/>
          <w:color w:val="auto"/>
          <w:szCs w:val="22"/>
        </w:rPr>
        <w:t>Zakres dokumentacji projektowej</w:t>
      </w:r>
      <w:bookmarkEnd w:id="54"/>
      <w:bookmarkEnd w:id="55"/>
    </w:p>
    <w:p w14:paraId="29B90C5E" w14:textId="77777777" w:rsidR="005472D7" w:rsidRPr="00651F80" w:rsidRDefault="005472D7" w:rsidP="005472D7">
      <w:pPr>
        <w:ind w:left="0" w:firstLine="709"/>
        <w:rPr>
          <w:rFonts w:asciiTheme="minorHAnsi" w:hAnsiTheme="minorHAnsi" w:cstheme="minorHAnsi"/>
          <w:sz w:val="22"/>
          <w:szCs w:val="22"/>
        </w:rPr>
      </w:pPr>
      <w:bookmarkStart w:id="56" w:name="_Toc502146534"/>
      <w:bookmarkStart w:id="57" w:name="_Toc399845180"/>
      <w:r w:rsidRPr="00651F80">
        <w:rPr>
          <w:rFonts w:asciiTheme="minorHAnsi" w:hAnsiTheme="minorHAnsi" w:cstheme="minorHAnsi"/>
          <w:sz w:val="22"/>
          <w:szCs w:val="22"/>
        </w:rPr>
        <w:t>Zamówienie w zakresie dokumentacji projektowej obejmuje w szczególności:</w:t>
      </w:r>
    </w:p>
    <w:p w14:paraId="3B1C4D09"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uzyskanie przez Wykonawcę kompletu niezbędnych map, podkładów i inwentaryzacji ge</w:t>
      </w:r>
      <w:r>
        <w:rPr>
          <w:rFonts w:asciiTheme="minorHAnsi" w:hAnsiTheme="minorHAnsi" w:cstheme="minorHAnsi"/>
          <w:snapToGrid w:val="0"/>
          <w:color w:val="000000"/>
          <w:sz w:val="22"/>
        </w:rPr>
        <w:t>odezyjnej oraz ich aktualizacji;</w:t>
      </w:r>
    </w:p>
    <w:p w14:paraId="47C438C5"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 xml:space="preserve">uzyskanie w zakresie każdej nieruchomości, na których zlokalizowane są urządzenia elektroenergetyczne aktualnego wypisu z ewidencji gruntów, sprawdzenie wypisu poprzez porównanie z zapisami Ksiąg Wieczystych oraz sporządzenie wykazu właścicieli gruntów, na których </w:t>
      </w:r>
      <w:r w:rsidRPr="00651F80">
        <w:rPr>
          <w:rFonts w:asciiTheme="minorHAnsi" w:hAnsiTheme="minorHAnsi" w:cstheme="minorHAnsi"/>
          <w:snapToGrid w:val="0"/>
          <w:color w:val="000000"/>
          <w:sz w:val="22"/>
        </w:rPr>
        <w:lastRenderedPageBreak/>
        <w:t>zlokalizowane są urządzenia elektroenergetyczne, w</w:t>
      </w:r>
      <w:r>
        <w:rPr>
          <w:rFonts w:asciiTheme="minorHAnsi" w:hAnsiTheme="minorHAnsi" w:cstheme="minorHAnsi"/>
          <w:snapToGrid w:val="0"/>
          <w:color w:val="000000"/>
          <w:sz w:val="22"/>
        </w:rPr>
        <w:t> </w:t>
      </w:r>
      <w:r w:rsidRPr="00651F80">
        <w:rPr>
          <w:rFonts w:asciiTheme="minorHAnsi" w:hAnsiTheme="minorHAnsi" w:cstheme="minorHAnsi"/>
          <w:snapToGrid w:val="0"/>
          <w:color w:val="000000"/>
          <w:sz w:val="22"/>
        </w:rPr>
        <w:t xml:space="preserve">zakresie </w:t>
      </w:r>
      <w:r>
        <w:rPr>
          <w:rFonts w:asciiTheme="minorHAnsi" w:hAnsiTheme="minorHAnsi" w:cstheme="minorHAnsi"/>
          <w:snapToGrid w:val="0"/>
          <w:color w:val="000000"/>
          <w:sz w:val="22"/>
        </w:rPr>
        <w:t>niezbędnym do wykonania zadania;</w:t>
      </w:r>
    </w:p>
    <w:p w14:paraId="4DC2C9FD"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 xml:space="preserve">wykonanie wszelkich </w:t>
      </w:r>
      <w:r>
        <w:rPr>
          <w:rFonts w:asciiTheme="minorHAnsi" w:hAnsiTheme="minorHAnsi" w:cstheme="minorHAnsi"/>
          <w:snapToGrid w:val="0"/>
          <w:color w:val="000000"/>
          <w:sz w:val="22"/>
        </w:rPr>
        <w:t>wymaganych przepisami powszechnie obowiązującego prawa</w:t>
      </w:r>
      <w:r w:rsidRPr="00651F80">
        <w:rPr>
          <w:rFonts w:asciiTheme="minorHAnsi" w:hAnsiTheme="minorHAnsi" w:cstheme="minorHAnsi"/>
          <w:snapToGrid w:val="0"/>
          <w:color w:val="000000"/>
          <w:sz w:val="22"/>
        </w:rPr>
        <w:t xml:space="preserve"> ekspertyz, dokumentacji, opracowań, operatów geologicznych, </w:t>
      </w:r>
      <w:proofErr w:type="spellStart"/>
      <w:r w:rsidRPr="00651F80">
        <w:rPr>
          <w:rFonts w:asciiTheme="minorHAnsi" w:hAnsiTheme="minorHAnsi" w:cstheme="minorHAnsi"/>
          <w:snapToGrid w:val="0"/>
          <w:color w:val="000000"/>
          <w:sz w:val="22"/>
        </w:rPr>
        <w:t>wodno</w:t>
      </w:r>
      <w:proofErr w:type="spellEnd"/>
      <w:r w:rsidRPr="00651F80">
        <w:rPr>
          <w:rFonts w:asciiTheme="minorHAnsi" w:hAnsiTheme="minorHAnsi" w:cstheme="minorHAnsi"/>
          <w:snapToGrid w:val="0"/>
          <w:color w:val="000000"/>
          <w:sz w:val="22"/>
        </w:rPr>
        <w:t xml:space="preserve"> - prawnych, wpływu na środowisko itp.</w:t>
      </w:r>
      <w:r>
        <w:rPr>
          <w:rFonts w:asciiTheme="minorHAnsi" w:hAnsiTheme="minorHAnsi" w:cstheme="minorHAnsi"/>
          <w:snapToGrid w:val="0"/>
          <w:color w:val="000000"/>
          <w:sz w:val="22"/>
        </w:rPr>
        <w:t>;</w:t>
      </w:r>
    </w:p>
    <w:p w14:paraId="44CBC261"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przygotowanie z opisem, wypełnienie oraz podpisanie wszystkich wniosków w imieniu Zamawiającego do urzędów administracji państwowej, terytorialnej i  terenowej o wydanie wszystkich decyzji związanych z</w:t>
      </w:r>
      <w:r>
        <w:rPr>
          <w:rFonts w:asciiTheme="minorHAnsi" w:hAnsiTheme="minorHAnsi" w:cstheme="minorHAnsi"/>
          <w:snapToGrid w:val="0"/>
          <w:color w:val="000000"/>
          <w:sz w:val="22"/>
        </w:rPr>
        <w:t> </w:t>
      </w:r>
      <w:r w:rsidRPr="00651F80">
        <w:rPr>
          <w:rFonts w:asciiTheme="minorHAnsi" w:hAnsiTheme="minorHAnsi" w:cstheme="minorHAnsi"/>
          <w:snapToGrid w:val="0"/>
          <w:color w:val="000000"/>
          <w:sz w:val="22"/>
        </w:rPr>
        <w:t>wykonywaniem dokumentacji projektowej oraz udzielenie wszelkich wyjaśnień w Urzędach Administracyjnych (w tym również reprezentowanie Zamawiającego w postępowaniach administracyjnych i sądowych</w:t>
      </w:r>
      <w:r>
        <w:rPr>
          <w:rFonts w:asciiTheme="minorHAnsi" w:hAnsiTheme="minorHAnsi" w:cstheme="minorHAnsi"/>
          <w:snapToGrid w:val="0"/>
          <w:color w:val="000000"/>
          <w:sz w:val="22"/>
        </w:rPr>
        <w:t xml:space="preserve"> na podstawie udzielonego pełnomocnictwa</w:t>
      </w:r>
      <w:r w:rsidRPr="00651F80">
        <w:rPr>
          <w:rFonts w:asciiTheme="minorHAnsi" w:hAnsiTheme="minorHAnsi" w:cstheme="minorHAnsi"/>
          <w:snapToGrid w:val="0"/>
          <w:color w:val="000000"/>
          <w:sz w:val="22"/>
        </w:rPr>
        <w:t>), a dotyczących w/w wniosków, łącznie z</w:t>
      </w:r>
      <w:r>
        <w:rPr>
          <w:rFonts w:asciiTheme="minorHAnsi" w:hAnsiTheme="minorHAnsi" w:cstheme="minorHAnsi"/>
          <w:snapToGrid w:val="0"/>
          <w:color w:val="000000"/>
          <w:sz w:val="22"/>
        </w:rPr>
        <w:t> </w:t>
      </w:r>
      <w:r w:rsidRPr="00651F80">
        <w:rPr>
          <w:rFonts w:asciiTheme="minorHAnsi" w:hAnsiTheme="minorHAnsi" w:cstheme="minorHAnsi"/>
          <w:snapToGrid w:val="0"/>
          <w:color w:val="000000"/>
          <w:sz w:val="22"/>
        </w:rPr>
        <w:t>wnioskiem o wydanie prawomocnego pozwolenia na budowę lub zgłoszenia wykonania</w:t>
      </w:r>
      <w:r>
        <w:rPr>
          <w:rFonts w:asciiTheme="minorHAnsi" w:hAnsiTheme="minorHAnsi" w:cstheme="minorHAnsi"/>
          <w:snapToGrid w:val="0"/>
          <w:color w:val="000000"/>
          <w:sz w:val="22"/>
        </w:rPr>
        <w:t xml:space="preserve"> robót budowlano – montażowych;</w:t>
      </w:r>
    </w:p>
    <w:p w14:paraId="57ECEA6A"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pokrycie wszelkich opłat wynikających z obowiązujących przepisów związanych z uzyskaniem dokum</w:t>
      </w:r>
      <w:r>
        <w:rPr>
          <w:rFonts w:asciiTheme="minorHAnsi" w:hAnsiTheme="minorHAnsi" w:cstheme="minorHAnsi"/>
          <w:snapToGrid w:val="0"/>
          <w:color w:val="000000"/>
          <w:sz w:val="22"/>
        </w:rPr>
        <w:t xml:space="preserve">entacji </w:t>
      </w:r>
      <w:proofErr w:type="spellStart"/>
      <w:r>
        <w:rPr>
          <w:rFonts w:asciiTheme="minorHAnsi" w:hAnsiTheme="minorHAnsi" w:cstheme="minorHAnsi"/>
          <w:snapToGrid w:val="0"/>
          <w:color w:val="000000"/>
          <w:sz w:val="22"/>
        </w:rPr>
        <w:t>prawno</w:t>
      </w:r>
      <w:proofErr w:type="spellEnd"/>
      <w:r>
        <w:rPr>
          <w:rFonts w:asciiTheme="minorHAnsi" w:hAnsiTheme="minorHAnsi" w:cstheme="minorHAnsi"/>
          <w:snapToGrid w:val="0"/>
          <w:color w:val="000000"/>
          <w:sz w:val="22"/>
        </w:rPr>
        <w:t xml:space="preserve"> – uzgodnieniowej;</w:t>
      </w:r>
    </w:p>
    <w:p w14:paraId="36E9C2EB" w14:textId="77777777" w:rsidR="005472D7" w:rsidRPr="00867055"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 xml:space="preserve">w dokumentacji projektowej należy utrzymać zgodność nadanych </w:t>
      </w:r>
      <w:proofErr w:type="spellStart"/>
      <w:r w:rsidRPr="00651F80">
        <w:rPr>
          <w:rFonts w:asciiTheme="minorHAnsi" w:hAnsiTheme="minorHAnsi" w:cstheme="minorHAnsi"/>
          <w:snapToGrid w:val="0"/>
          <w:color w:val="000000"/>
          <w:sz w:val="22"/>
        </w:rPr>
        <w:t>oznakowań</w:t>
      </w:r>
      <w:proofErr w:type="spellEnd"/>
      <w:r w:rsidRPr="00651F80">
        <w:rPr>
          <w:rFonts w:asciiTheme="minorHAnsi" w:hAnsiTheme="minorHAnsi" w:cstheme="minorHAnsi"/>
          <w:snapToGrid w:val="0"/>
          <w:color w:val="000000"/>
          <w:sz w:val="22"/>
        </w:rPr>
        <w:t>, opisów, relacji, identy</w:t>
      </w:r>
      <w:r>
        <w:rPr>
          <w:rFonts w:asciiTheme="minorHAnsi" w:hAnsiTheme="minorHAnsi" w:cstheme="minorHAnsi"/>
          <w:snapToGrid w:val="0"/>
          <w:color w:val="000000"/>
          <w:sz w:val="22"/>
        </w:rPr>
        <w:t xml:space="preserve">fikujących </w:t>
      </w:r>
      <w:r w:rsidRPr="00867055">
        <w:rPr>
          <w:rFonts w:asciiTheme="minorHAnsi" w:hAnsiTheme="minorHAnsi" w:cstheme="minorHAnsi"/>
          <w:snapToGrid w:val="0"/>
          <w:color w:val="000000"/>
          <w:sz w:val="22"/>
        </w:rPr>
        <w:t>urządzenia w terenie;</w:t>
      </w:r>
    </w:p>
    <w:p w14:paraId="40E7861E" w14:textId="1CA2D772" w:rsidR="005472D7" w:rsidRPr="00867055" w:rsidRDefault="005472D7" w:rsidP="00511E62">
      <w:pPr>
        <w:pStyle w:val="Akapitzlist"/>
        <w:widowControl w:val="0"/>
        <w:numPr>
          <w:ilvl w:val="0"/>
          <w:numId w:val="22"/>
        </w:numPr>
        <w:outlineLvl w:val="3"/>
        <w:rPr>
          <w:rFonts w:asciiTheme="minorHAnsi" w:hAnsiTheme="minorHAnsi" w:cstheme="minorHAnsi"/>
          <w:snapToGrid w:val="0"/>
          <w:sz w:val="22"/>
        </w:rPr>
      </w:pPr>
      <w:r w:rsidRPr="00867055">
        <w:rPr>
          <w:rFonts w:asciiTheme="minorHAnsi" w:hAnsiTheme="minorHAnsi" w:cstheme="minorHAnsi"/>
          <w:snapToGrid w:val="0"/>
          <w:sz w:val="22"/>
        </w:rPr>
        <w:t>zgłoszenie zamiaru wykonania robót budowlanych</w:t>
      </w:r>
      <w:r>
        <w:rPr>
          <w:rFonts w:asciiTheme="minorHAnsi" w:hAnsiTheme="minorHAnsi" w:cstheme="minorHAnsi"/>
          <w:snapToGrid w:val="0"/>
          <w:sz w:val="22"/>
        </w:rPr>
        <w:t xml:space="preserve">, </w:t>
      </w:r>
      <w:r w:rsidRPr="00867055">
        <w:rPr>
          <w:rFonts w:asciiTheme="minorHAnsi" w:hAnsiTheme="minorHAnsi" w:cstheme="minorHAnsi"/>
          <w:snapToGrid w:val="0"/>
          <w:sz w:val="22"/>
        </w:rPr>
        <w:t>do którego właściwy organ nie wniósł sprzeciwu</w:t>
      </w:r>
      <w:r>
        <w:rPr>
          <w:rFonts w:asciiTheme="minorHAnsi" w:hAnsiTheme="minorHAnsi" w:cstheme="minorHAnsi"/>
          <w:snapToGrid w:val="0"/>
          <w:sz w:val="22"/>
        </w:rPr>
        <w:t>;</w:t>
      </w:r>
    </w:p>
    <w:p w14:paraId="0D10F116" w14:textId="2ADB0D7D" w:rsidR="005472D7" w:rsidRDefault="005472D7" w:rsidP="00511E62">
      <w:pPr>
        <w:pStyle w:val="Akapitzlist"/>
        <w:widowControl w:val="0"/>
        <w:numPr>
          <w:ilvl w:val="0"/>
          <w:numId w:val="22"/>
        </w:numPr>
        <w:outlineLvl w:val="3"/>
        <w:rPr>
          <w:rFonts w:asciiTheme="minorHAnsi" w:hAnsiTheme="minorHAnsi" w:cstheme="minorHAnsi"/>
          <w:snapToGrid w:val="0"/>
          <w:sz w:val="22"/>
        </w:rPr>
      </w:pPr>
      <w:r w:rsidRPr="00867055">
        <w:rPr>
          <w:rFonts w:asciiTheme="minorHAnsi" w:hAnsiTheme="minorHAnsi" w:cstheme="minorHAnsi"/>
          <w:snapToGrid w:val="0"/>
          <w:sz w:val="22"/>
        </w:rPr>
        <w:t>uzyskanie ostatecznego pozwolenia na budowę</w:t>
      </w:r>
      <w:r>
        <w:rPr>
          <w:rFonts w:asciiTheme="minorHAnsi" w:hAnsiTheme="minorHAnsi" w:cstheme="minorHAnsi"/>
          <w:snapToGrid w:val="0"/>
          <w:sz w:val="22"/>
        </w:rPr>
        <w:t>;</w:t>
      </w:r>
    </w:p>
    <w:p w14:paraId="5DFD97B5"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uzyskanie decyzji administracyjnych w imieniu i na rzecz Zamawiającego zezwalających na wycięcie drzew i</w:t>
      </w:r>
      <w:r>
        <w:rPr>
          <w:rFonts w:asciiTheme="minorHAnsi" w:hAnsiTheme="minorHAnsi" w:cstheme="minorHAnsi"/>
          <w:snapToGrid w:val="0"/>
          <w:color w:val="000000"/>
          <w:sz w:val="22"/>
        </w:rPr>
        <w:t> </w:t>
      </w:r>
      <w:r w:rsidRPr="00651F80">
        <w:rPr>
          <w:rFonts w:asciiTheme="minorHAnsi" w:hAnsiTheme="minorHAnsi" w:cstheme="minorHAnsi"/>
          <w:snapToGrid w:val="0"/>
          <w:color w:val="000000"/>
          <w:sz w:val="22"/>
        </w:rPr>
        <w:t>krzewów celem realizacji zadania</w:t>
      </w:r>
      <w:r>
        <w:rPr>
          <w:rFonts w:asciiTheme="minorHAnsi" w:hAnsiTheme="minorHAnsi" w:cstheme="minorHAnsi"/>
          <w:snapToGrid w:val="0"/>
          <w:color w:val="000000"/>
          <w:sz w:val="22"/>
        </w:rPr>
        <w:t>;</w:t>
      </w:r>
    </w:p>
    <w:p w14:paraId="64B1D5DD" w14:textId="77777777" w:rsidR="005472D7" w:rsidRPr="00651F80" w:rsidRDefault="005472D7" w:rsidP="00511E62">
      <w:pPr>
        <w:pStyle w:val="Akapitzlist"/>
        <w:widowControl w:val="0"/>
        <w:numPr>
          <w:ilvl w:val="0"/>
          <w:numId w:val="22"/>
        </w:numPr>
        <w:outlineLvl w:val="3"/>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dokumentacja projektowa musi być uzgodniona przez Zamawiającego, zgodnie z poniższymi wytycznymi:</w:t>
      </w:r>
    </w:p>
    <w:p w14:paraId="15667AB2" w14:textId="77777777" w:rsidR="005472D7" w:rsidRPr="00651F80" w:rsidRDefault="005472D7" w:rsidP="00511E62">
      <w:pPr>
        <w:widowControl w:val="0"/>
        <w:numPr>
          <w:ilvl w:val="0"/>
          <w:numId w:val="20"/>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Kolejność przekazywania przygotowanej dokumentacji przez Wykonawcę do uzgodnienia z Wydziałem Zarządzania Majątkiem Sieciowym PGE Dystrybucja S.A. Oddział Łódź:</w:t>
      </w:r>
    </w:p>
    <w:p w14:paraId="177DB85D" w14:textId="77777777" w:rsidR="005472D7" w:rsidRPr="00651F80" w:rsidRDefault="005472D7" w:rsidP="00511E62">
      <w:pPr>
        <w:numPr>
          <w:ilvl w:val="0"/>
          <w:numId w:val="21"/>
        </w:numPr>
        <w:contextualSpacing/>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koncepcja – dopuszcza się złożenie wstępnej koncepcji w zakresie zastosowanej aparatury i urządzeń oraz rozmieszczenia urządzeń; koncepcja powinna zawierać wszystkie elementy d</w:t>
      </w:r>
      <w:r>
        <w:rPr>
          <w:rFonts w:asciiTheme="minorHAnsi" w:eastAsiaTheme="minorEastAsia" w:hAnsiTheme="minorHAnsi" w:cstheme="minorHAnsi"/>
          <w:sz w:val="22"/>
          <w:szCs w:val="22"/>
          <w:lang w:eastAsia="en-US"/>
        </w:rPr>
        <w:t>otyczące przedmiotowego zadania;</w:t>
      </w:r>
    </w:p>
    <w:p w14:paraId="4D167604" w14:textId="77777777" w:rsidR="005472D7" w:rsidRPr="00651F80" w:rsidRDefault="005472D7" w:rsidP="00511E62">
      <w:pPr>
        <w:numPr>
          <w:ilvl w:val="0"/>
          <w:numId w:val="21"/>
        </w:numPr>
        <w:contextualSpacing/>
        <w:rPr>
          <w:rFonts w:asciiTheme="minorHAnsi" w:eastAsiaTheme="minorEastAsia" w:hAnsiTheme="minorHAnsi" w:cstheme="minorHAnsi"/>
          <w:sz w:val="22"/>
          <w:szCs w:val="22"/>
          <w:lang w:eastAsia="en-US"/>
        </w:rPr>
      </w:pPr>
      <w:r>
        <w:rPr>
          <w:rFonts w:asciiTheme="minorHAnsi" w:eastAsiaTheme="minorEastAsia" w:hAnsiTheme="minorHAnsi" w:cstheme="minorHAnsi"/>
          <w:sz w:val="22"/>
          <w:szCs w:val="22"/>
          <w:lang w:eastAsia="en-US"/>
        </w:rPr>
        <w:t>projekt budowlany;</w:t>
      </w:r>
    </w:p>
    <w:p w14:paraId="71BA5410" w14:textId="77777777" w:rsidR="005472D7" w:rsidRPr="00651F80" w:rsidRDefault="005472D7" w:rsidP="00511E62">
      <w:pPr>
        <w:numPr>
          <w:ilvl w:val="0"/>
          <w:numId w:val="21"/>
        </w:numPr>
        <w:contextualSpacing/>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 xml:space="preserve">projekt techniczny (wykonawczy) (po uzgodnieniu projektu budowlanego) – należy złożyć do uzgodnienia komplet dokumentów: </w:t>
      </w:r>
    </w:p>
    <w:p w14:paraId="1437D723" w14:textId="77777777" w:rsidR="005472D7" w:rsidRPr="00651F80" w:rsidRDefault="005472D7" w:rsidP="005472D7">
      <w:pPr>
        <w:widowControl w:val="0"/>
        <w:autoSpaceDE w:val="0"/>
        <w:autoSpaceDN w:val="0"/>
        <w:adjustRightInd w:val="0"/>
        <w:spacing w:before="0" w:after="0"/>
        <w:ind w:left="851" w:firstLine="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KAŻDA GRUPA DOKUMENTACJI POWINNA ZAWIERAĆ WYKAZ WSZYSTKICH TOMÓW. NIE DOPUSZCZA SIĘ SKŁADANIA DO UZGODNIENIA ODRĘBNIE POJEDYNCZYCH TOMÓW DOKUMENTACJI Z</w:t>
      </w:r>
      <w:r>
        <w:rPr>
          <w:rFonts w:asciiTheme="minorHAnsi" w:eastAsiaTheme="minorEastAsia" w:hAnsiTheme="minorHAnsi" w:cstheme="minorHAnsi"/>
          <w:sz w:val="22"/>
          <w:szCs w:val="22"/>
          <w:lang w:eastAsia="en-US"/>
        </w:rPr>
        <w:t> </w:t>
      </w:r>
      <w:r w:rsidRPr="00651F80">
        <w:rPr>
          <w:rFonts w:asciiTheme="minorHAnsi" w:eastAsiaTheme="minorEastAsia" w:hAnsiTheme="minorHAnsi" w:cstheme="minorHAnsi"/>
          <w:sz w:val="22"/>
          <w:szCs w:val="22"/>
          <w:lang w:eastAsia="en-US"/>
        </w:rPr>
        <w:t>WYŁĄCZENIEM KOREKT DO ZŁOŻONEGO KOMPLETU DOKUMENTACJI.</w:t>
      </w:r>
    </w:p>
    <w:p w14:paraId="3D450DCA" w14:textId="77777777" w:rsidR="005472D7" w:rsidRPr="00651F80" w:rsidRDefault="005472D7" w:rsidP="005472D7">
      <w:pPr>
        <w:widowControl w:val="0"/>
        <w:autoSpaceDE w:val="0"/>
        <w:autoSpaceDN w:val="0"/>
        <w:adjustRightInd w:val="0"/>
        <w:spacing w:before="0" w:after="0"/>
        <w:ind w:left="851" w:firstLine="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W PRZYPADKU KOREKTY PROJEKTU NALEŻY BEZWZGLĘDNIE DOŁĄCZYĆ KARTĘ ZMIAN DLA DANEGO TOMU, ZAWIERAJĄCĄ ZAKRES I PODSTAWĘ ZMIAN.</w:t>
      </w:r>
    </w:p>
    <w:p w14:paraId="1D2EE171" w14:textId="77777777" w:rsidR="005472D7" w:rsidRPr="00651F80" w:rsidRDefault="005472D7" w:rsidP="00511E62">
      <w:pPr>
        <w:widowControl w:val="0"/>
        <w:numPr>
          <w:ilvl w:val="0"/>
          <w:numId w:val="20"/>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Termin uzgodnienia dokumentacji od daty wpływu kompletu do Wydziału Zarządzania Majątkiem Sieciowym PGE Dystrybucja S.A. Oddział Łódź:</w:t>
      </w:r>
    </w:p>
    <w:p w14:paraId="2A8B6479" w14:textId="77777777" w:rsidR="005472D7" w:rsidRPr="00F300B0" w:rsidRDefault="005472D7" w:rsidP="00511E62">
      <w:pPr>
        <w:numPr>
          <w:ilvl w:val="0"/>
          <w:numId w:val="21"/>
        </w:numPr>
        <w:contextualSpacing/>
        <w:rPr>
          <w:rFonts w:asciiTheme="minorHAnsi" w:eastAsiaTheme="minorEastAsia" w:hAnsiTheme="minorHAnsi" w:cstheme="minorHAnsi"/>
          <w:sz w:val="22"/>
          <w:szCs w:val="22"/>
          <w:lang w:eastAsia="en-US"/>
        </w:rPr>
      </w:pPr>
      <w:r w:rsidRPr="00F300B0">
        <w:rPr>
          <w:rFonts w:asciiTheme="minorHAnsi" w:eastAsiaTheme="minorEastAsia" w:hAnsiTheme="minorHAnsi" w:cstheme="minorHAnsi"/>
          <w:sz w:val="22"/>
          <w:szCs w:val="22"/>
          <w:lang w:eastAsia="en-US"/>
        </w:rPr>
        <w:t xml:space="preserve">Projekt budowlany </w:t>
      </w:r>
      <w:r w:rsidRPr="00F300B0">
        <w:rPr>
          <w:rFonts w:asciiTheme="minorHAnsi" w:eastAsiaTheme="minorEastAsia" w:hAnsiTheme="minorHAnsi" w:cstheme="minorHAnsi"/>
          <w:sz w:val="22"/>
          <w:szCs w:val="22"/>
          <w:lang w:eastAsia="en-US"/>
        </w:rPr>
        <w:tab/>
        <w:t>– 14 dni.</w:t>
      </w:r>
    </w:p>
    <w:p w14:paraId="409A472E" w14:textId="77777777" w:rsidR="005472D7" w:rsidRPr="00F300B0" w:rsidRDefault="005472D7" w:rsidP="00511E62">
      <w:pPr>
        <w:numPr>
          <w:ilvl w:val="0"/>
          <w:numId w:val="21"/>
        </w:numPr>
        <w:contextualSpacing/>
        <w:rPr>
          <w:rFonts w:asciiTheme="minorHAnsi" w:eastAsiaTheme="minorEastAsia" w:hAnsiTheme="minorHAnsi" w:cstheme="minorHAnsi"/>
          <w:sz w:val="22"/>
          <w:szCs w:val="22"/>
          <w:lang w:eastAsia="en-US"/>
        </w:rPr>
      </w:pPr>
      <w:r w:rsidRPr="00F300B0">
        <w:rPr>
          <w:rFonts w:asciiTheme="minorHAnsi" w:eastAsiaTheme="minorEastAsia" w:hAnsiTheme="minorHAnsi" w:cstheme="minorHAnsi"/>
          <w:sz w:val="22"/>
          <w:szCs w:val="22"/>
          <w:lang w:eastAsia="en-US"/>
        </w:rPr>
        <w:t xml:space="preserve">Projekt wykonawczy </w:t>
      </w:r>
      <w:r w:rsidRPr="00F300B0">
        <w:rPr>
          <w:rFonts w:asciiTheme="minorHAnsi" w:eastAsiaTheme="minorEastAsia" w:hAnsiTheme="minorHAnsi" w:cstheme="minorHAnsi"/>
          <w:sz w:val="22"/>
          <w:szCs w:val="22"/>
          <w:lang w:eastAsia="en-US"/>
        </w:rPr>
        <w:tab/>
        <w:t>– 21 dni (dla złożonego kompletnego projektu).</w:t>
      </w:r>
    </w:p>
    <w:p w14:paraId="79A985A7" w14:textId="77777777" w:rsidR="005472D7" w:rsidRPr="00651F80" w:rsidRDefault="005472D7" w:rsidP="00511E62">
      <w:pPr>
        <w:widowControl w:val="0"/>
        <w:numPr>
          <w:ilvl w:val="0"/>
          <w:numId w:val="20"/>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Dopuszcza się składnie dokumentacji do uzgodnienia w wersji elektronicznej. Ostateczną uzgodnioną wersję projektu należy dostarczyć do Wydziału Zarządzania Majątkiem Sieciowym PGE Dystrybucja S.A. Oddział Łódź w formie papierowej (1 egzemplarz) oraz w formie elektronicznej (*.pdf).</w:t>
      </w:r>
    </w:p>
    <w:p w14:paraId="77793E9E" w14:textId="77777777" w:rsidR="005472D7" w:rsidRPr="00651F80" w:rsidRDefault="005472D7" w:rsidP="00511E62">
      <w:pPr>
        <w:widowControl w:val="0"/>
        <w:numPr>
          <w:ilvl w:val="0"/>
          <w:numId w:val="20"/>
        </w:numPr>
        <w:autoSpaceDE w:val="0"/>
        <w:autoSpaceDN w:val="0"/>
        <w:adjustRightInd w:val="0"/>
        <w:spacing w:before="0" w:after="0"/>
        <w:rPr>
          <w:rFonts w:asciiTheme="minorHAnsi" w:eastAsiaTheme="minorEastAsia" w:hAnsiTheme="minorHAnsi" w:cstheme="minorHAnsi"/>
          <w:sz w:val="22"/>
          <w:szCs w:val="22"/>
          <w:lang w:eastAsia="en-US"/>
        </w:rPr>
      </w:pPr>
      <w:r w:rsidRPr="00651F80">
        <w:rPr>
          <w:rFonts w:asciiTheme="minorHAnsi" w:eastAsiaTheme="minorEastAsia" w:hAnsiTheme="minorHAnsi" w:cstheme="minorHAnsi"/>
          <w:sz w:val="22"/>
          <w:szCs w:val="22"/>
          <w:lang w:eastAsia="en-US"/>
        </w:rPr>
        <w:t>Dokumentację formalno-prawną należy dodatkowo uzgodnić z Wydziałem Zarządzania Nieruchomościami w</w:t>
      </w:r>
      <w:r>
        <w:rPr>
          <w:rFonts w:asciiTheme="minorHAnsi" w:eastAsiaTheme="minorEastAsia" w:hAnsiTheme="minorHAnsi" w:cstheme="minorHAnsi"/>
          <w:sz w:val="22"/>
          <w:szCs w:val="22"/>
          <w:lang w:eastAsia="en-US"/>
        </w:rPr>
        <w:t> </w:t>
      </w:r>
      <w:r w:rsidRPr="00651F80">
        <w:rPr>
          <w:rFonts w:asciiTheme="minorHAnsi" w:eastAsiaTheme="minorEastAsia" w:hAnsiTheme="minorHAnsi" w:cstheme="minorHAnsi"/>
          <w:sz w:val="22"/>
          <w:szCs w:val="22"/>
          <w:lang w:eastAsia="en-US"/>
        </w:rPr>
        <w:t>PGE Dystrybucja S.A. Oddział Łódź, na etapie opracowywania projektu.</w:t>
      </w:r>
      <w:bookmarkEnd w:id="56"/>
    </w:p>
    <w:p w14:paraId="448DD0CD" w14:textId="77777777" w:rsidR="00A31859" w:rsidRPr="005F6FAE" w:rsidRDefault="00A31859" w:rsidP="00D2360B">
      <w:pPr>
        <w:pStyle w:val="Nagwek2"/>
        <w:spacing w:before="120" w:line="240" w:lineRule="auto"/>
        <w:ind w:left="578" w:hanging="578"/>
        <w:rPr>
          <w:rFonts w:asciiTheme="minorHAnsi" w:hAnsiTheme="minorHAnsi" w:cstheme="minorHAnsi"/>
          <w:i/>
          <w:color w:val="auto"/>
          <w:szCs w:val="22"/>
        </w:rPr>
      </w:pPr>
      <w:bookmarkStart w:id="58" w:name="_Toc216678513"/>
      <w:r w:rsidRPr="005F6FAE">
        <w:rPr>
          <w:rFonts w:asciiTheme="minorHAnsi" w:hAnsiTheme="minorHAnsi" w:cstheme="minorHAnsi"/>
          <w:i/>
          <w:color w:val="auto"/>
          <w:szCs w:val="22"/>
        </w:rPr>
        <w:t>Wymagania dotyczące nabywania praw do nieruchomości</w:t>
      </w:r>
      <w:bookmarkEnd w:id="58"/>
      <w:r w:rsidRPr="005F6FAE">
        <w:rPr>
          <w:rFonts w:asciiTheme="minorHAnsi" w:hAnsiTheme="minorHAnsi" w:cstheme="minorHAnsi"/>
          <w:i/>
          <w:color w:val="auto"/>
          <w:szCs w:val="22"/>
        </w:rPr>
        <w:t xml:space="preserve"> </w:t>
      </w:r>
    </w:p>
    <w:p w14:paraId="0F9014AE" w14:textId="766147D7" w:rsidR="00F35B0B" w:rsidRPr="00F35B0B" w:rsidRDefault="00F35B0B" w:rsidP="00511E62">
      <w:pPr>
        <w:pStyle w:val="Styl3"/>
        <w:numPr>
          <w:ilvl w:val="0"/>
          <w:numId w:val="9"/>
        </w:numPr>
        <w:spacing w:before="0" w:after="0"/>
        <w:ind w:left="714" w:hanging="357"/>
        <w:rPr>
          <w:rFonts w:asciiTheme="minorHAnsi" w:hAnsiTheme="minorHAnsi" w:cstheme="minorHAnsi"/>
          <w:color w:val="auto"/>
          <w:szCs w:val="22"/>
        </w:rPr>
      </w:pPr>
      <w:r w:rsidRPr="00F35B0B">
        <w:rPr>
          <w:rFonts w:asciiTheme="minorHAnsi" w:hAnsiTheme="minorHAnsi" w:cstheme="minorHAnsi"/>
          <w:color w:val="auto"/>
          <w:szCs w:val="22"/>
        </w:rPr>
        <w:t>Wykonawca jest odpowiedzialn</w:t>
      </w:r>
      <w:r w:rsidR="00F031DA">
        <w:rPr>
          <w:rFonts w:asciiTheme="minorHAnsi" w:hAnsiTheme="minorHAnsi" w:cstheme="minorHAnsi"/>
          <w:color w:val="auto"/>
          <w:szCs w:val="22"/>
        </w:rPr>
        <w:t>y za przeprowadzenie negocjacji</w:t>
      </w:r>
      <w:r w:rsidR="00F031DA">
        <w:rPr>
          <w:rFonts w:asciiTheme="minorHAnsi" w:hAnsiTheme="minorHAnsi" w:cstheme="minorHAnsi"/>
          <w:color w:val="auto"/>
          <w:szCs w:val="22"/>
          <w:lang w:val="pl-PL"/>
        </w:rPr>
        <w:t xml:space="preserve"> </w:t>
      </w:r>
      <w:r w:rsidR="00F031DA">
        <w:rPr>
          <w:rFonts w:asciiTheme="minorHAnsi" w:hAnsiTheme="minorHAnsi" w:cstheme="minorHAnsi"/>
          <w:color w:val="auto"/>
          <w:szCs w:val="22"/>
        </w:rPr>
        <w:t>z</w:t>
      </w:r>
      <w:r w:rsidR="00F031DA">
        <w:rPr>
          <w:rFonts w:asciiTheme="minorHAnsi" w:hAnsiTheme="minorHAnsi" w:cstheme="minorHAnsi"/>
          <w:color w:val="auto"/>
          <w:szCs w:val="22"/>
          <w:lang w:val="pl-PL"/>
        </w:rPr>
        <w:t xml:space="preserve"> </w:t>
      </w:r>
      <w:r w:rsidRPr="00F35B0B">
        <w:rPr>
          <w:rFonts w:asciiTheme="minorHAnsi" w:hAnsiTheme="minorHAnsi" w:cstheme="minorHAnsi"/>
          <w:color w:val="auto"/>
          <w:szCs w:val="22"/>
        </w:rPr>
        <w:t xml:space="preserve">właścicielami/współwłaścicielami działek i uzyskanie służebności </w:t>
      </w:r>
      <w:proofErr w:type="spellStart"/>
      <w:r w:rsidRPr="00F35B0B">
        <w:rPr>
          <w:rFonts w:asciiTheme="minorHAnsi" w:hAnsiTheme="minorHAnsi" w:cstheme="minorHAnsi"/>
          <w:color w:val="auto"/>
          <w:szCs w:val="22"/>
        </w:rPr>
        <w:t>przesyłu</w:t>
      </w:r>
      <w:proofErr w:type="spellEnd"/>
      <w:r w:rsidRPr="00F35B0B">
        <w:rPr>
          <w:rFonts w:asciiTheme="minorHAnsi" w:hAnsiTheme="minorHAnsi" w:cstheme="minorHAnsi"/>
          <w:color w:val="auto"/>
          <w:szCs w:val="22"/>
        </w:rPr>
        <w:t xml:space="preserve"> dla projektowanej infrastruktury.</w:t>
      </w:r>
    </w:p>
    <w:p w14:paraId="25760046" w14:textId="77777777" w:rsidR="00F35B0B" w:rsidRPr="00F35B0B" w:rsidRDefault="00F35B0B" w:rsidP="00511E62">
      <w:pPr>
        <w:pStyle w:val="Styl3"/>
        <w:numPr>
          <w:ilvl w:val="0"/>
          <w:numId w:val="9"/>
        </w:numPr>
        <w:spacing w:before="0" w:after="0"/>
        <w:ind w:left="714" w:hanging="357"/>
        <w:rPr>
          <w:rFonts w:asciiTheme="minorHAnsi" w:hAnsiTheme="minorHAnsi" w:cstheme="minorHAnsi"/>
          <w:color w:val="auto"/>
          <w:szCs w:val="22"/>
        </w:rPr>
      </w:pPr>
      <w:r w:rsidRPr="00F35B0B">
        <w:rPr>
          <w:rFonts w:asciiTheme="minorHAnsi" w:hAnsiTheme="minorHAnsi" w:cstheme="minorHAnsi"/>
          <w:color w:val="auto"/>
          <w:szCs w:val="22"/>
        </w:rPr>
        <w:t>Wykonawca uzyska uzgodnienie z odpowiednimi służbami, instytucjami, urzędami w sprawie  lokalizacji, warunków zajęcia terenu i ich odtworzenia.</w:t>
      </w:r>
    </w:p>
    <w:p w14:paraId="3AF54596" w14:textId="2FA19537" w:rsidR="00F35B0B" w:rsidRPr="00F35B0B" w:rsidRDefault="00F35B0B" w:rsidP="00511E62">
      <w:pPr>
        <w:pStyle w:val="Styl3"/>
        <w:numPr>
          <w:ilvl w:val="0"/>
          <w:numId w:val="9"/>
        </w:numPr>
        <w:spacing w:before="0" w:after="0"/>
        <w:ind w:left="714" w:hanging="357"/>
        <w:rPr>
          <w:rFonts w:asciiTheme="minorHAnsi" w:hAnsiTheme="minorHAnsi" w:cstheme="minorHAnsi"/>
          <w:color w:val="auto"/>
          <w:szCs w:val="22"/>
        </w:rPr>
      </w:pPr>
      <w:r w:rsidRPr="00F35B0B">
        <w:rPr>
          <w:rFonts w:asciiTheme="minorHAnsi" w:hAnsiTheme="minorHAnsi" w:cstheme="minorHAnsi"/>
          <w:color w:val="auto"/>
          <w:szCs w:val="22"/>
        </w:rPr>
        <w:lastRenderedPageBreak/>
        <w:t>Wykonawca uzyska na rzecz Zamawiającego prawo do dysponowania nierucho</w:t>
      </w:r>
      <w:r w:rsidR="00F031DA">
        <w:rPr>
          <w:rFonts w:asciiTheme="minorHAnsi" w:hAnsiTheme="minorHAnsi" w:cstheme="minorHAnsi"/>
          <w:color w:val="auto"/>
          <w:szCs w:val="22"/>
        </w:rPr>
        <w:t>mościami, przez które</w:t>
      </w:r>
      <w:r w:rsidR="00F031DA">
        <w:rPr>
          <w:rFonts w:asciiTheme="minorHAnsi" w:hAnsiTheme="minorHAnsi" w:cstheme="minorHAnsi"/>
          <w:color w:val="auto"/>
          <w:szCs w:val="22"/>
          <w:lang w:val="pl-PL"/>
        </w:rPr>
        <w:t xml:space="preserve"> zostaną</w:t>
      </w:r>
      <w:r w:rsidRPr="00F35B0B">
        <w:rPr>
          <w:rFonts w:asciiTheme="minorHAnsi" w:hAnsiTheme="minorHAnsi" w:cstheme="minorHAnsi"/>
          <w:color w:val="auto"/>
          <w:szCs w:val="22"/>
        </w:rPr>
        <w:t xml:space="preserve"> zaprojektowan</w:t>
      </w:r>
      <w:r w:rsidR="00F031DA">
        <w:rPr>
          <w:rFonts w:asciiTheme="minorHAnsi" w:hAnsiTheme="minorHAnsi" w:cstheme="minorHAnsi"/>
          <w:color w:val="auto"/>
          <w:szCs w:val="22"/>
          <w:lang w:val="pl-PL"/>
        </w:rPr>
        <w:t>e</w:t>
      </w:r>
      <w:r w:rsidRPr="00F35B0B">
        <w:rPr>
          <w:rFonts w:asciiTheme="minorHAnsi" w:hAnsiTheme="minorHAnsi" w:cstheme="minorHAnsi"/>
          <w:color w:val="auto"/>
          <w:szCs w:val="22"/>
        </w:rPr>
        <w:t xml:space="preserve"> lini</w:t>
      </w:r>
      <w:r w:rsidR="00F031DA">
        <w:rPr>
          <w:rFonts w:asciiTheme="minorHAnsi" w:hAnsiTheme="minorHAnsi" w:cstheme="minorHAnsi"/>
          <w:color w:val="auto"/>
          <w:szCs w:val="22"/>
          <w:lang w:val="pl-PL"/>
        </w:rPr>
        <w:t>e</w:t>
      </w:r>
      <w:r w:rsidRPr="00F35B0B">
        <w:rPr>
          <w:rFonts w:asciiTheme="minorHAnsi" w:hAnsiTheme="minorHAnsi" w:cstheme="minorHAnsi"/>
          <w:color w:val="auto"/>
          <w:szCs w:val="22"/>
        </w:rPr>
        <w:t xml:space="preserve"> napowietrzn</w:t>
      </w:r>
      <w:r w:rsidR="00F031DA">
        <w:rPr>
          <w:rFonts w:asciiTheme="minorHAnsi" w:hAnsiTheme="minorHAnsi" w:cstheme="minorHAnsi"/>
          <w:color w:val="auto"/>
          <w:szCs w:val="22"/>
          <w:lang w:val="pl-PL"/>
        </w:rPr>
        <w:t>o-kablowe</w:t>
      </w:r>
      <w:r w:rsidRPr="00F35B0B">
        <w:rPr>
          <w:rFonts w:asciiTheme="minorHAnsi" w:hAnsiTheme="minorHAnsi" w:cstheme="minorHAnsi"/>
          <w:color w:val="auto"/>
          <w:szCs w:val="22"/>
        </w:rPr>
        <w:t xml:space="preserve"> 110 </w:t>
      </w:r>
      <w:proofErr w:type="spellStart"/>
      <w:r w:rsidRPr="00F35B0B">
        <w:rPr>
          <w:rFonts w:asciiTheme="minorHAnsi" w:hAnsiTheme="minorHAnsi" w:cstheme="minorHAnsi"/>
          <w:color w:val="auto"/>
          <w:szCs w:val="22"/>
        </w:rPr>
        <w:t>kV</w:t>
      </w:r>
      <w:proofErr w:type="spellEnd"/>
      <w:r w:rsidRPr="00F35B0B">
        <w:rPr>
          <w:rFonts w:asciiTheme="minorHAnsi" w:hAnsiTheme="minorHAnsi" w:cstheme="minorHAnsi"/>
          <w:color w:val="auto"/>
          <w:szCs w:val="22"/>
        </w:rPr>
        <w:t>.</w:t>
      </w:r>
    </w:p>
    <w:p w14:paraId="6E7B6242" w14:textId="77777777" w:rsidR="00BB30AC" w:rsidRPr="002D4AA7" w:rsidRDefault="00F35B0B" w:rsidP="00511E62">
      <w:pPr>
        <w:pStyle w:val="Styl3"/>
        <w:numPr>
          <w:ilvl w:val="0"/>
          <w:numId w:val="9"/>
        </w:numPr>
        <w:spacing w:before="0" w:after="0"/>
        <w:ind w:left="714" w:hanging="357"/>
        <w:rPr>
          <w:rFonts w:asciiTheme="minorHAnsi" w:hAnsiTheme="minorHAnsi" w:cstheme="minorHAnsi"/>
          <w:color w:val="auto"/>
          <w:szCs w:val="22"/>
        </w:rPr>
      </w:pPr>
      <w:r w:rsidRPr="002D4AA7">
        <w:rPr>
          <w:rFonts w:asciiTheme="minorHAnsi" w:hAnsiTheme="minorHAnsi" w:cstheme="minorHAnsi"/>
          <w:color w:val="auto"/>
          <w:szCs w:val="22"/>
        </w:rPr>
        <w:t>Wytyczne w zakresie określania pasa służebności – zgodnie z ustaleniami na roboczo podczas uzgadniania dokumentacji projektowej z Wydziałem Zarządzania Nieruchomościami w PGE Dystrybucja S.A. Oddział Łódź, przyjmuj</w:t>
      </w:r>
      <w:r w:rsidRPr="002D4AA7">
        <w:rPr>
          <w:rFonts w:asciiTheme="minorHAnsi" w:hAnsiTheme="minorHAnsi" w:cstheme="minorHAnsi"/>
          <w:color w:val="auto"/>
          <w:szCs w:val="22"/>
          <w:lang w:val="pl-PL"/>
        </w:rPr>
        <w:t>ąc poniższe zasady</w:t>
      </w:r>
      <w:r w:rsidR="009D0DFF" w:rsidRPr="002D4AA7">
        <w:rPr>
          <w:rFonts w:asciiTheme="minorHAnsi" w:hAnsiTheme="minorHAnsi" w:cstheme="minorHAnsi"/>
          <w:color w:val="auto"/>
          <w:szCs w:val="22"/>
          <w:lang w:val="pl-PL"/>
        </w:rPr>
        <w:t xml:space="preserve"> określania p</w:t>
      </w:r>
      <w:r w:rsidR="00BB30AC" w:rsidRPr="002D4AA7">
        <w:rPr>
          <w:rFonts w:asciiTheme="minorHAnsi" w:hAnsiTheme="minorHAnsi" w:cstheme="minorHAnsi"/>
          <w:color w:val="auto"/>
          <w:szCs w:val="22"/>
          <w:lang w:val="pl-PL"/>
        </w:rPr>
        <w:t>as</w:t>
      </w:r>
      <w:r w:rsidR="009D0DFF" w:rsidRPr="002D4AA7">
        <w:rPr>
          <w:rFonts w:asciiTheme="minorHAnsi" w:hAnsiTheme="minorHAnsi" w:cstheme="minorHAnsi"/>
          <w:color w:val="auto"/>
          <w:szCs w:val="22"/>
          <w:lang w:val="pl-PL"/>
        </w:rPr>
        <w:t>a</w:t>
      </w:r>
      <w:r w:rsidR="00BB30AC" w:rsidRPr="002D4AA7">
        <w:rPr>
          <w:rFonts w:asciiTheme="minorHAnsi" w:hAnsiTheme="minorHAnsi" w:cstheme="minorHAnsi"/>
          <w:color w:val="auto"/>
          <w:szCs w:val="22"/>
          <w:lang w:val="pl-PL"/>
        </w:rPr>
        <w:t xml:space="preserve"> służebności:</w:t>
      </w:r>
    </w:p>
    <w:p w14:paraId="0E7564DB" w14:textId="77777777" w:rsidR="00BB30AC" w:rsidRPr="002D4AA7" w:rsidRDefault="00BB30AC" w:rsidP="00511E62">
      <w:pPr>
        <w:pStyle w:val="Styl3"/>
        <w:numPr>
          <w:ilvl w:val="0"/>
          <w:numId w:val="13"/>
        </w:numPr>
        <w:spacing w:before="0" w:after="0"/>
        <w:rPr>
          <w:rFonts w:asciiTheme="minorHAnsi" w:hAnsiTheme="minorHAnsi" w:cstheme="minorHAnsi"/>
          <w:color w:val="auto"/>
          <w:szCs w:val="22"/>
        </w:rPr>
      </w:pPr>
      <w:r w:rsidRPr="002D4AA7">
        <w:rPr>
          <w:rFonts w:asciiTheme="minorHAnsi" w:hAnsiTheme="minorHAnsi" w:cstheme="minorHAnsi"/>
          <w:color w:val="auto"/>
          <w:szCs w:val="22"/>
          <w:lang w:val="pl-PL"/>
        </w:rPr>
        <w:t xml:space="preserve">Dla linii przechodzącej przez tereny zalesione </w:t>
      </w:r>
      <w:r w:rsidR="00841562" w:rsidRPr="002D4AA7">
        <w:rPr>
          <w:rFonts w:asciiTheme="minorHAnsi" w:hAnsiTheme="minorHAnsi" w:cstheme="minorHAnsi"/>
          <w:color w:val="auto"/>
          <w:szCs w:val="22"/>
          <w:lang w:val="pl-PL"/>
        </w:rPr>
        <w:t xml:space="preserve">lub zadrzewione </w:t>
      </w:r>
      <w:r w:rsidRPr="002D4AA7">
        <w:rPr>
          <w:rFonts w:asciiTheme="minorHAnsi" w:hAnsiTheme="minorHAnsi" w:cstheme="minorHAnsi"/>
          <w:color w:val="auto"/>
          <w:szCs w:val="22"/>
          <w:lang w:val="pl-PL"/>
        </w:rPr>
        <w:t>wymagany pas służebności stanowi odległość pomiędzy skrajnymi pr</w:t>
      </w:r>
      <w:r w:rsidR="00785098" w:rsidRPr="002D4AA7">
        <w:rPr>
          <w:rFonts w:asciiTheme="minorHAnsi" w:hAnsiTheme="minorHAnsi" w:cstheme="minorHAnsi"/>
          <w:color w:val="auto"/>
          <w:szCs w:val="22"/>
          <w:lang w:val="pl-PL"/>
        </w:rPr>
        <w:t>zewodami powiększoną</w:t>
      </w:r>
      <w:r w:rsidR="00770CEC" w:rsidRPr="002D4AA7">
        <w:rPr>
          <w:rFonts w:asciiTheme="minorHAnsi" w:hAnsiTheme="minorHAnsi" w:cstheme="minorHAnsi"/>
          <w:color w:val="auto"/>
          <w:szCs w:val="22"/>
          <w:lang w:val="pl-PL"/>
        </w:rPr>
        <w:t xml:space="preserve"> </w:t>
      </w:r>
      <w:r w:rsidRPr="002D4AA7">
        <w:rPr>
          <w:rFonts w:asciiTheme="minorHAnsi" w:hAnsiTheme="minorHAnsi" w:cstheme="minorHAnsi"/>
          <w:color w:val="auto"/>
          <w:szCs w:val="22"/>
          <w:lang w:val="pl-PL"/>
        </w:rPr>
        <w:t>o</w:t>
      </w:r>
      <w:r w:rsidR="001A2174" w:rsidRPr="002D4AA7">
        <w:rPr>
          <w:rFonts w:asciiTheme="minorHAnsi" w:hAnsiTheme="minorHAnsi" w:cstheme="minorHAnsi"/>
          <w:color w:val="auto"/>
          <w:szCs w:val="22"/>
          <w:lang w:val="pl-PL"/>
        </w:rPr>
        <w:t> </w:t>
      </w:r>
      <w:r w:rsidR="0093127F" w:rsidRPr="002D4AA7">
        <w:rPr>
          <w:rFonts w:asciiTheme="minorHAnsi" w:hAnsiTheme="minorHAnsi" w:cstheme="minorHAnsi"/>
          <w:color w:val="auto"/>
          <w:szCs w:val="22"/>
          <w:lang w:val="pl-PL"/>
        </w:rPr>
        <w:t>4,5m,</w:t>
      </w:r>
      <w:r w:rsidRPr="002D4AA7">
        <w:rPr>
          <w:rFonts w:asciiTheme="minorHAnsi" w:hAnsiTheme="minorHAnsi" w:cstheme="minorHAnsi"/>
          <w:color w:val="auto"/>
          <w:szCs w:val="22"/>
          <w:lang w:val="pl-PL"/>
        </w:rPr>
        <w:t xml:space="preserve"> z każdej strony</w:t>
      </w:r>
      <w:r w:rsidR="001A2174" w:rsidRPr="002D4AA7">
        <w:rPr>
          <w:rFonts w:asciiTheme="minorHAnsi" w:hAnsiTheme="minorHAnsi" w:cstheme="minorHAnsi"/>
          <w:color w:val="auto"/>
          <w:szCs w:val="22"/>
          <w:lang w:val="pl-PL"/>
        </w:rPr>
        <w:t>;</w:t>
      </w:r>
    </w:p>
    <w:p w14:paraId="48AAE82B" w14:textId="77777777" w:rsidR="00BB30AC" w:rsidRPr="002D4AA7" w:rsidRDefault="00BB30AC" w:rsidP="00511E62">
      <w:pPr>
        <w:pStyle w:val="Styl3"/>
        <w:numPr>
          <w:ilvl w:val="0"/>
          <w:numId w:val="13"/>
        </w:numPr>
        <w:spacing w:before="0" w:after="0"/>
        <w:rPr>
          <w:rFonts w:asciiTheme="minorHAnsi" w:hAnsiTheme="minorHAnsi" w:cstheme="minorHAnsi"/>
          <w:color w:val="auto"/>
          <w:szCs w:val="22"/>
        </w:rPr>
      </w:pPr>
      <w:r w:rsidRPr="002D4AA7">
        <w:rPr>
          <w:rFonts w:asciiTheme="minorHAnsi" w:hAnsiTheme="minorHAnsi" w:cstheme="minorHAnsi"/>
          <w:color w:val="auto"/>
          <w:szCs w:val="22"/>
          <w:lang w:val="pl-PL"/>
        </w:rPr>
        <w:t>Dla linii na pozostałym terenie oraz przy zastosowaniu słupów nadleśnych:</w:t>
      </w:r>
    </w:p>
    <w:p w14:paraId="5F99A5D1" w14:textId="77777777" w:rsidR="00BB30AC" w:rsidRPr="002D4AA7" w:rsidRDefault="00BB30AC" w:rsidP="000C7774">
      <w:pPr>
        <w:pStyle w:val="Styl3"/>
        <w:spacing w:before="0" w:after="0"/>
        <w:ind w:left="1440"/>
        <w:rPr>
          <w:rFonts w:asciiTheme="minorHAnsi" w:hAnsiTheme="minorHAnsi" w:cstheme="minorHAnsi"/>
          <w:color w:val="auto"/>
          <w:szCs w:val="22"/>
          <w:lang w:val="pl-PL"/>
        </w:rPr>
      </w:pPr>
      <w:r w:rsidRPr="002D4AA7">
        <w:rPr>
          <w:rFonts w:asciiTheme="minorHAnsi" w:hAnsiTheme="minorHAnsi" w:cstheme="minorHAnsi"/>
          <w:color w:val="auto"/>
          <w:szCs w:val="22"/>
          <w:lang w:val="pl-PL"/>
        </w:rPr>
        <w:t>- dla słupa linii - powierzchnia słupa powiększona o 1m (wokół słupa)</w:t>
      </w:r>
      <w:r w:rsidR="009D0DFF" w:rsidRPr="002D4AA7">
        <w:rPr>
          <w:rFonts w:asciiTheme="minorHAnsi" w:hAnsiTheme="minorHAnsi" w:cstheme="minorHAnsi"/>
          <w:color w:val="auto"/>
          <w:szCs w:val="22"/>
          <w:lang w:val="pl-PL"/>
        </w:rPr>
        <w:t xml:space="preserve"> </w:t>
      </w:r>
    </w:p>
    <w:p w14:paraId="519F97B0" w14:textId="77777777" w:rsidR="009517D3" w:rsidRDefault="00BB30AC" w:rsidP="000C7774">
      <w:pPr>
        <w:pStyle w:val="Styl3"/>
        <w:spacing w:before="0" w:after="0"/>
        <w:ind w:left="1440"/>
        <w:rPr>
          <w:rFonts w:asciiTheme="minorHAnsi" w:hAnsiTheme="minorHAnsi" w:cstheme="minorHAnsi"/>
          <w:color w:val="auto"/>
          <w:szCs w:val="22"/>
          <w:lang w:val="pl-PL"/>
        </w:rPr>
      </w:pPr>
      <w:r w:rsidRPr="002D4AA7">
        <w:rPr>
          <w:rFonts w:asciiTheme="minorHAnsi" w:hAnsiTheme="minorHAnsi" w:cstheme="minorHAnsi"/>
          <w:color w:val="auto"/>
          <w:szCs w:val="22"/>
          <w:lang w:val="pl-PL"/>
        </w:rPr>
        <w:t>- dla przewodów – pas szerokości 3m</w:t>
      </w:r>
    </w:p>
    <w:p w14:paraId="247B27DB" w14:textId="1128EFAE" w:rsidR="00BB30AC" w:rsidRDefault="009517D3" w:rsidP="009517D3">
      <w:pPr>
        <w:pStyle w:val="Styl3"/>
        <w:numPr>
          <w:ilvl w:val="0"/>
          <w:numId w:val="13"/>
        </w:numPr>
        <w:spacing w:before="0" w:after="0"/>
        <w:rPr>
          <w:rFonts w:asciiTheme="minorHAnsi" w:hAnsiTheme="minorHAnsi" w:cstheme="minorHAnsi"/>
          <w:color w:val="auto"/>
          <w:szCs w:val="22"/>
          <w:lang w:val="pl-PL"/>
        </w:rPr>
      </w:pPr>
      <w:r>
        <w:rPr>
          <w:rFonts w:asciiTheme="minorHAnsi" w:hAnsiTheme="minorHAnsi" w:cstheme="minorHAnsi"/>
          <w:color w:val="auto"/>
          <w:szCs w:val="22"/>
          <w:lang w:val="pl-PL"/>
        </w:rPr>
        <w:t>D</w:t>
      </w:r>
      <w:r w:rsidRPr="009517D3">
        <w:rPr>
          <w:rFonts w:asciiTheme="minorHAnsi" w:hAnsiTheme="minorHAnsi" w:cstheme="minorHAnsi"/>
          <w:color w:val="auto"/>
          <w:szCs w:val="22"/>
          <w:lang w:val="pl-PL"/>
        </w:rPr>
        <w:t>la linii kablowych wymagany pas służebności stanowi pas szerokości 3m.</w:t>
      </w:r>
    </w:p>
    <w:p w14:paraId="2FD03CE6" w14:textId="77777777" w:rsidR="00B12E9F" w:rsidRPr="005F6FAE" w:rsidRDefault="00B12E9F" w:rsidP="000C7774">
      <w:pPr>
        <w:pStyle w:val="Styl3"/>
        <w:spacing w:before="0" w:after="0"/>
        <w:ind w:left="1440"/>
        <w:rPr>
          <w:rFonts w:asciiTheme="minorHAnsi" w:hAnsiTheme="minorHAnsi" w:cstheme="minorHAnsi"/>
          <w:color w:val="auto"/>
          <w:szCs w:val="22"/>
          <w:lang w:val="pl-PL"/>
        </w:rPr>
      </w:pPr>
    </w:p>
    <w:p w14:paraId="23B4C9BD" w14:textId="77777777" w:rsidR="00887F72" w:rsidRPr="005F6FAE" w:rsidRDefault="00887F72" w:rsidP="00157809">
      <w:pPr>
        <w:pStyle w:val="Nagwek2"/>
        <w:rPr>
          <w:rFonts w:asciiTheme="minorHAnsi" w:hAnsiTheme="minorHAnsi" w:cstheme="minorHAnsi"/>
          <w:i/>
          <w:color w:val="auto"/>
          <w:szCs w:val="22"/>
        </w:rPr>
      </w:pPr>
      <w:bookmarkStart w:id="59" w:name="_Toc216678514"/>
      <w:r w:rsidRPr="005F6FAE">
        <w:rPr>
          <w:rFonts w:asciiTheme="minorHAnsi" w:hAnsiTheme="minorHAnsi" w:cstheme="minorHAnsi"/>
          <w:i/>
          <w:color w:val="auto"/>
          <w:szCs w:val="22"/>
        </w:rPr>
        <w:t xml:space="preserve">Forma dokumentacji projektowej i </w:t>
      </w:r>
      <w:proofErr w:type="spellStart"/>
      <w:r w:rsidRPr="005F6FAE">
        <w:rPr>
          <w:rFonts w:asciiTheme="minorHAnsi" w:hAnsiTheme="minorHAnsi" w:cstheme="minorHAnsi"/>
          <w:i/>
          <w:color w:val="auto"/>
          <w:szCs w:val="22"/>
        </w:rPr>
        <w:t>prawno</w:t>
      </w:r>
      <w:proofErr w:type="spellEnd"/>
      <w:r w:rsidRPr="005F6FAE">
        <w:rPr>
          <w:rFonts w:asciiTheme="minorHAnsi" w:hAnsiTheme="minorHAnsi" w:cstheme="minorHAnsi"/>
          <w:i/>
          <w:color w:val="auto"/>
          <w:szCs w:val="22"/>
        </w:rPr>
        <w:t xml:space="preserve"> – uzgodnieniowej</w:t>
      </w:r>
      <w:bookmarkEnd w:id="57"/>
      <w:bookmarkEnd w:id="59"/>
    </w:p>
    <w:p w14:paraId="69AC0E95" w14:textId="77777777" w:rsidR="00C65B51" w:rsidRPr="005F6FAE" w:rsidRDefault="00C65B51" w:rsidP="00511E62">
      <w:pPr>
        <w:pStyle w:val="Styl3"/>
        <w:numPr>
          <w:ilvl w:val="0"/>
          <w:numId w:val="18"/>
        </w:numPr>
        <w:spacing w:before="0" w:after="0"/>
        <w:ind w:left="714" w:hanging="357"/>
        <w:rPr>
          <w:rFonts w:asciiTheme="minorHAnsi" w:hAnsiTheme="minorHAnsi" w:cstheme="minorHAnsi"/>
          <w:color w:val="auto"/>
          <w:szCs w:val="22"/>
        </w:rPr>
      </w:pPr>
      <w:r w:rsidRPr="005F6FAE">
        <w:rPr>
          <w:rFonts w:asciiTheme="minorHAnsi" w:hAnsiTheme="minorHAnsi" w:cstheme="minorHAnsi"/>
          <w:color w:val="auto"/>
          <w:szCs w:val="22"/>
        </w:rPr>
        <w:t>Wszelką dokumentację należy sporządzić w języku polskim.</w:t>
      </w:r>
    </w:p>
    <w:p w14:paraId="08B84971" w14:textId="77777777" w:rsidR="00C65B51" w:rsidRPr="005F6FAE" w:rsidRDefault="00C65B51" w:rsidP="00511E62">
      <w:pPr>
        <w:pStyle w:val="Styl3"/>
        <w:numPr>
          <w:ilvl w:val="0"/>
          <w:numId w:val="18"/>
        </w:numPr>
        <w:spacing w:before="0" w:after="0"/>
        <w:ind w:left="714" w:hanging="357"/>
        <w:rPr>
          <w:rFonts w:asciiTheme="minorHAnsi" w:hAnsiTheme="minorHAnsi" w:cstheme="minorHAnsi"/>
          <w:color w:val="auto"/>
          <w:szCs w:val="22"/>
        </w:rPr>
      </w:pPr>
      <w:r w:rsidRPr="005F6FAE">
        <w:rPr>
          <w:rFonts w:asciiTheme="minorHAnsi" w:hAnsiTheme="minorHAnsi" w:cstheme="minorHAnsi"/>
          <w:color w:val="auto"/>
          <w:szCs w:val="22"/>
        </w:rPr>
        <w:t xml:space="preserve">Dokumentację projektową </w:t>
      </w:r>
      <w:r w:rsidR="00ED5721" w:rsidRPr="005F6FAE">
        <w:rPr>
          <w:rFonts w:asciiTheme="minorHAnsi" w:hAnsiTheme="minorHAnsi" w:cstheme="minorHAnsi"/>
          <w:color w:val="auto"/>
          <w:szCs w:val="22"/>
        </w:rPr>
        <w:t xml:space="preserve">do odbioru końcowego dokumentacji, </w:t>
      </w:r>
      <w:r w:rsidRPr="005F6FAE">
        <w:rPr>
          <w:rFonts w:asciiTheme="minorHAnsi" w:hAnsiTheme="minorHAnsi" w:cstheme="minorHAnsi"/>
          <w:color w:val="auto"/>
          <w:szCs w:val="22"/>
        </w:rPr>
        <w:t>należy sporządzić w formie papierowej w ilości:</w:t>
      </w:r>
    </w:p>
    <w:p w14:paraId="072BE278" w14:textId="77777777" w:rsidR="00091A51" w:rsidRPr="003F3BA0" w:rsidRDefault="00091A51" w:rsidP="00511E62">
      <w:pPr>
        <w:pStyle w:val="mylniki"/>
        <w:widowControl w:val="0"/>
        <w:numPr>
          <w:ilvl w:val="0"/>
          <w:numId w:val="11"/>
        </w:numPr>
        <w:autoSpaceDE w:val="0"/>
        <w:autoSpaceDN w:val="0"/>
        <w:adjustRightInd w:val="0"/>
        <w:spacing w:line="276" w:lineRule="auto"/>
        <w:ind w:left="851"/>
        <w:rPr>
          <w:snapToGrid w:val="0"/>
          <w:szCs w:val="20"/>
        </w:rPr>
      </w:pPr>
      <w:r w:rsidRPr="003F3BA0">
        <w:rPr>
          <w:snapToGrid w:val="0"/>
          <w:szCs w:val="20"/>
        </w:rPr>
        <w:t xml:space="preserve">2 </w:t>
      </w:r>
      <w:proofErr w:type="spellStart"/>
      <w:r w:rsidRPr="003F3BA0">
        <w:rPr>
          <w:snapToGrid w:val="0"/>
          <w:szCs w:val="20"/>
        </w:rPr>
        <w:t>kpl</w:t>
      </w:r>
      <w:proofErr w:type="spellEnd"/>
      <w:r w:rsidRPr="003F3BA0">
        <w:rPr>
          <w:snapToGrid w:val="0"/>
          <w:szCs w:val="20"/>
        </w:rPr>
        <w:t xml:space="preserve">. Projektu Budowlanego przygotowanego zgodnie z wymaganiami w obowiązującym Prawie Budowlanym (zawierający m.in. Projekt zagospodarowania terenu lub działki, Projekt architektoniczno-budowlany, Projekt techniczny, Plan BIOZ, oświadczenia wymagane art. 41 ust. 4a pkt 2) Prawa Budowlanego), w tym 1 </w:t>
      </w:r>
      <w:proofErr w:type="spellStart"/>
      <w:r w:rsidRPr="003F3BA0">
        <w:rPr>
          <w:snapToGrid w:val="0"/>
          <w:szCs w:val="20"/>
        </w:rPr>
        <w:t>kpl</w:t>
      </w:r>
      <w:proofErr w:type="spellEnd"/>
      <w:r w:rsidRPr="003F3BA0">
        <w:rPr>
          <w:snapToGrid w:val="0"/>
          <w:szCs w:val="20"/>
        </w:rPr>
        <w:t>. z oryginałami ostatecznych decyzji administracyjnych i</w:t>
      </w:r>
      <w:r>
        <w:rPr>
          <w:snapToGrid w:val="0"/>
          <w:szCs w:val="20"/>
        </w:rPr>
        <w:t> </w:t>
      </w:r>
      <w:r w:rsidRPr="003F3BA0">
        <w:rPr>
          <w:snapToGrid w:val="0"/>
          <w:szCs w:val="20"/>
        </w:rPr>
        <w:t xml:space="preserve">uzgodnień wydanych na rzecz Zamawiającego, wymaganych obowiązującymi przepisami, w tym 2 </w:t>
      </w:r>
      <w:proofErr w:type="spellStart"/>
      <w:r w:rsidRPr="003F3BA0">
        <w:rPr>
          <w:snapToGrid w:val="0"/>
          <w:szCs w:val="20"/>
        </w:rPr>
        <w:t>kpl</w:t>
      </w:r>
      <w:proofErr w:type="spellEnd"/>
      <w:r w:rsidRPr="003F3BA0">
        <w:rPr>
          <w:snapToGrid w:val="0"/>
          <w:szCs w:val="20"/>
        </w:rPr>
        <w:t>. oryginalnych załączników graficznych do opinii sformułowanej na naradzie koordynacyjnej w</w:t>
      </w:r>
      <w:r>
        <w:rPr>
          <w:snapToGrid w:val="0"/>
          <w:szCs w:val="20"/>
        </w:rPr>
        <w:t> </w:t>
      </w:r>
      <w:r w:rsidRPr="003F3BA0">
        <w:rPr>
          <w:snapToGrid w:val="0"/>
          <w:szCs w:val="20"/>
        </w:rPr>
        <w:t>sprawie sieci uzbrojenia terenu, zorganizowanej przez właściwy organ dla obiektów budowlanych objętych przedmiotem Umowy, Raport oddziaływania na środowisko ze streszczeniem nietechnicznym (jeżeli jest wymagany),</w:t>
      </w:r>
    </w:p>
    <w:p w14:paraId="399BC805" w14:textId="77777777" w:rsidR="00091A51" w:rsidRPr="003F3BA0" w:rsidRDefault="00091A51" w:rsidP="00511E62">
      <w:pPr>
        <w:pStyle w:val="mylniki"/>
        <w:widowControl w:val="0"/>
        <w:numPr>
          <w:ilvl w:val="0"/>
          <w:numId w:val="11"/>
        </w:numPr>
        <w:autoSpaceDE w:val="0"/>
        <w:autoSpaceDN w:val="0"/>
        <w:adjustRightInd w:val="0"/>
        <w:spacing w:line="276" w:lineRule="auto"/>
        <w:ind w:left="851"/>
        <w:rPr>
          <w:snapToGrid w:val="0"/>
          <w:szCs w:val="20"/>
        </w:rPr>
      </w:pPr>
      <w:r w:rsidRPr="003F3BA0">
        <w:rPr>
          <w:snapToGrid w:val="0"/>
          <w:szCs w:val="20"/>
        </w:rPr>
        <w:t xml:space="preserve">2 </w:t>
      </w:r>
      <w:proofErr w:type="spellStart"/>
      <w:r w:rsidRPr="003F3BA0">
        <w:rPr>
          <w:snapToGrid w:val="0"/>
          <w:szCs w:val="20"/>
        </w:rPr>
        <w:t>kpl</w:t>
      </w:r>
      <w:proofErr w:type="spellEnd"/>
      <w:r w:rsidRPr="003F3BA0">
        <w:rPr>
          <w:snapToGrid w:val="0"/>
          <w:szCs w:val="20"/>
        </w:rPr>
        <w:t>. Projektu Wykonawczego uzgodnionego przez Zamawiającego (zgodne z Rozporządzeniem Ministra Rozwoju i Technologii z dnia 20 grudnia 2021 r. w sprawie szczegółowego zakresu i formy dokumentacji projektowej, specyfikacji technicznych wykonania i odbioru robót budowlanych oraz</w:t>
      </w:r>
      <w:r>
        <w:rPr>
          <w:snapToGrid w:val="0"/>
          <w:szCs w:val="20"/>
        </w:rPr>
        <w:t> </w:t>
      </w:r>
      <w:r w:rsidRPr="003F3BA0">
        <w:rPr>
          <w:snapToGrid w:val="0"/>
          <w:szCs w:val="20"/>
        </w:rPr>
        <w:t>programu funkcjonalno-użytkowego (poz. 2454</w:t>
      </w:r>
      <w:r>
        <w:rPr>
          <w:snapToGrid w:val="0"/>
          <w:szCs w:val="20"/>
        </w:rPr>
        <w:t>)</w:t>
      </w:r>
      <w:r w:rsidRPr="003F3BA0">
        <w:rPr>
          <w:snapToGrid w:val="0"/>
          <w:szCs w:val="20"/>
        </w:rPr>
        <w:t>,</w:t>
      </w:r>
    </w:p>
    <w:p w14:paraId="28554B06" w14:textId="77777777" w:rsidR="00091A51" w:rsidRPr="003F3BA0" w:rsidRDefault="00091A51" w:rsidP="00511E62">
      <w:pPr>
        <w:pStyle w:val="mylniki"/>
        <w:widowControl w:val="0"/>
        <w:numPr>
          <w:ilvl w:val="0"/>
          <w:numId w:val="11"/>
        </w:numPr>
        <w:autoSpaceDE w:val="0"/>
        <w:autoSpaceDN w:val="0"/>
        <w:adjustRightInd w:val="0"/>
        <w:spacing w:line="276" w:lineRule="auto"/>
        <w:ind w:left="851"/>
        <w:rPr>
          <w:snapToGrid w:val="0"/>
          <w:szCs w:val="20"/>
        </w:rPr>
      </w:pPr>
      <w:r w:rsidRPr="003F3BA0">
        <w:rPr>
          <w:snapToGrid w:val="0"/>
          <w:szCs w:val="20"/>
        </w:rPr>
        <w:t xml:space="preserve">2 </w:t>
      </w:r>
      <w:proofErr w:type="spellStart"/>
      <w:r w:rsidRPr="003F3BA0">
        <w:rPr>
          <w:snapToGrid w:val="0"/>
          <w:szCs w:val="20"/>
        </w:rPr>
        <w:t>kpl</w:t>
      </w:r>
      <w:proofErr w:type="spellEnd"/>
      <w:r w:rsidRPr="003F3BA0">
        <w:rPr>
          <w:snapToGrid w:val="0"/>
          <w:szCs w:val="20"/>
        </w:rPr>
        <w:t xml:space="preserve">. zgód na realizację zadania, rozumianych jako pozyskane na rzecz Zamawiającego prawa i tytuły do wszystkich niezbędnych nieruchomości dla realizacji robót budowlanych, w wymaganej formie i treści. Wymagane jest dostarczenie 1 </w:t>
      </w:r>
      <w:proofErr w:type="spellStart"/>
      <w:r w:rsidRPr="003F3BA0">
        <w:rPr>
          <w:snapToGrid w:val="0"/>
          <w:szCs w:val="20"/>
        </w:rPr>
        <w:t>kpl</w:t>
      </w:r>
      <w:proofErr w:type="spellEnd"/>
      <w:r w:rsidRPr="003F3BA0">
        <w:rPr>
          <w:snapToGrid w:val="0"/>
          <w:szCs w:val="20"/>
        </w:rPr>
        <w:t xml:space="preserve">. oryginałów wspomnianych zgód i 1 </w:t>
      </w:r>
      <w:proofErr w:type="spellStart"/>
      <w:r w:rsidRPr="003F3BA0">
        <w:rPr>
          <w:snapToGrid w:val="0"/>
          <w:szCs w:val="20"/>
        </w:rPr>
        <w:t>kpl</w:t>
      </w:r>
      <w:proofErr w:type="spellEnd"/>
      <w:r w:rsidRPr="003F3BA0">
        <w:rPr>
          <w:snapToGrid w:val="0"/>
          <w:szCs w:val="20"/>
        </w:rPr>
        <w:t>. kopii – z</w:t>
      </w:r>
      <w:r>
        <w:rPr>
          <w:snapToGrid w:val="0"/>
          <w:szCs w:val="20"/>
        </w:rPr>
        <w:t> </w:t>
      </w:r>
      <w:r w:rsidRPr="003F3BA0">
        <w:rPr>
          <w:snapToGrid w:val="0"/>
          <w:szCs w:val="20"/>
        </w:rPr>
        <w:t>załącznikiem/załącznikami graficznymi, na których oznaczono przebieg trasy na odpowiedniej dla nieruchomości mapie,</w:t>
      </w:r>
    </w:p>
    <w:p w14:paraId="6B2BEB89" w14:textId="77777777" w:rsidR="00091A51" w:rsidRPr="003F3BA0" w:rsidRDefault="00091A51" w:rsidP="00511E62">
      <w:pPr>
        <w:pStyle w:val="mylniki"/>
        <w:widowControl w:val="0"/>
        <w:numPr>
          <w:ilvl w:val="0"/>
          <w:numId w:val="11"/>
        </w:numPr>
        <w:autoSpaceDE w:val="0"/>
        <w:autoSpaceDN w:val="0"/>
        <w:adjustRightInd w:val="0"/>
        <w:spacing w:line="276" w:lineRule="auto"/>
        <w:ind w:left="851"/>
        <w:rPr>
          <w:strike/>
          <w:snapToGrid w:val="0"/>
        </w:rPr>
      </w:pPr>
      <w:r w:rsidRPr="003F3BA0">
        <w:rPr>
          <w:snapToGrid w:val="0"/>
          <w:szCs w:val="20"/>
        </w:rPr>
        <w:t xml:space="preserve">1 </w:t>
      </w:r>
      <w:proofErr w:type="spellStart"/>
      <w:r w:rsidRPr="003F3BA0">
        <w:rPr>
          <w:snapToGrid w:val="0"/>
          <w:szCs w:val="20"/>
        </w:rPr>
        <w:t>kpl</w:t>
      </w:r>
      <w:proofErr w:type="spellEnd"/>
      <w:r w:rsidRPr="003F3BA0">
        <w:rPr>
          <w:snapToGrid w:val="0"/>
          <w:szCs w:val="20"/>
        </w:rPr>
        <w:t xml:space="preserve">. kosztorysu inwestorskiego oraz 1 </w:t>
      </w:r>
      <w:proofErr w:type="spellStart"/>
      <w:r w:rsidRPr="003F3BA0">
        <w:rPr>
          <w:snapToGrid w:val="0"/>
          <w:szCs w:val="20"/>
        </w:rPr>
        <w:t>kpl</w:t>
      </w:r>
      <w:proofErr w:type="spellEnd"/>
      <w:r w:rsidRPr="003F3BA0">
        <w:rPr>
          <w:snapToGrid w:val="0"/>
          <w:szCs w:val="20"/>
        </w:rPr>
        <w:t>. przedmiaru robót w wersji papierowej i elektronicznej, w wersji źródłowej dla programu kosztorysowego.</w:t>
      </w:r>
    </w:p>
    <w:p w14:paraId="0EF7D61E" w14:textId="77777777" w:rsidR="00091A51" w:rsidRPr="003F3BA0" w:rsidRDefault="00091A51" w:rsidP="00511E62">
      <w:pPr>
        <w:pStyle w:val="mylniki"/>
        <w:widowControl w:val="0"/>
        <w:numPr>
          <w:ilvl w:val="0"/>
          <w:numId w:val="11"/>
        </w:numPr>
        <w:autoSpaceDE w:val="0"/>
        <w:autoSpaceDN w:val="0"/>
        <w:adjustRightInd w:val="0"/>
        <w:spacing w:line="276" w:lineRule="auto"/>
        <w:ind w:left="851"/>
        <w:rPr>
          <w:snapToGrid w:val="0"/>
        </w:rPr>
      </w:pPr>
      <w:r w:rsidRPr="003F3BA0">
        <w:rPr>
          <w:snapToGrid w:val="0"/>
        </w:rPr>
        <w:t>Wykonawca zobowiązany jest do: aktualizacji kosztorysów inwestorskich w terminie wskazanym przez Zamawiającego, w przypadku, gdy od daty opracowania przez Wykonawcę kosztorysów inwestorskich do daty rozpoczęcia postępowania zakupowego na roboty budowlane upłynie ponad 6 miesięcy,</w:t>
      </w:r>
    </w:p>
    <w:p w14:paraId="54DDED60" w14:textId="77777777" w:rsidR="00091A51" w:rsidRPr="00651F80" w:rsidRDefault="00091A51" w:rsidP="00511E62">
      <w:pPr>
        <w:numPr>
          <w:ilvl w:val="0"/>
          <w:numId w:val="11"/>
        </w:numPr>
        <w:ind w:left="851"/>
        <w:rPr>
          <w:rFonts w:asciiTheme="minorHAnsi" w:hAnsiTheme="minorHAnsi" w:cstheme="minorHAnsi"/>
          <w:snapToGrid w:val="0"/>
          <w:color w:val="000000"/>
          <w:sz w:val="22"/>
        </w:rPr>
      </w:pPr>
      <w:r w:rsidRPr="00651F80">
        <w:rPr>
          <w:rFonts w:asciiTheme="minorHAnsi" w:hAnsiTheme="minorHAnsi" w:cstheme="minorHAnsi"/>
          <w:snapToGrid w:val="0"/>
          <w:color w:val="000000"/>
          <w:sz w:val="22"/>
        </w:rPr>
        <w:t xml:space="preserve">1 </w:t>
      </w:r>
      <w:proofErr w:type="spellStart"/>
      <w:r w:rsidRPr="00651F80">
        <w:rPr>
          <w:rFonts w:asciiTheme="minorHAnsi" w:hAnsiTheme="minorHAnsi" w:cstheme="minorHAnsi"/>
          <w:snapToGrid w:val="0"/>
          <w:color w:val="000000"/>
          <w:sz w:val="22"/>
        </w:rPr>
        <w:t>kpl</w:t>
      </w:r>
      <w:proofErr w:type="spellEnd"/>
      <w:r w:rsidRPr="00651F80">
        <w:rPr>
          <w:rFonts w:asciiTheme="minorHAnsi" w:hAnsiTheme="minorHAnsi" w:cstheme="minorHAnsi"/>
          <w:snapToGrid w:val="0"/>
          <w:color w:val="000000"/>
          <w:sz w:val="22"/>
        </w:rPr>
        <w:t>. Wytyczn</w:t>
      </w:r>
      <w:r>
        <w:rPr>
          <w:rFonts w:asciiTheme="minorHAnsi" w:hAnsiTheme="minorHAnsi" w:cstheme="minorHAnsi"/>
          <w:snapToGrid w:val="0"/>
          <w:color w:val="000000"/>
          <w:sz w:val="22"/>
        </w:rPr>
        <w:t>ych Realizacji Inwestycji (WRI),</w:t>
      </w:r>
    </w:p>
    <w:p w14:paraId="45CDF6BE" w14:textId="395ACF78" w:rsidR="00F35B0B" w:rsidRPr="00091A51" w:rsidRDefault="00091A51" w:rsidP="00511E62">
      <w:pPr>
        <w:pStyle w:val="mylniki"/>
        <w:widowControl w:val="0"/>
        <w:numPr>
          <w:ilvl w:val="0"/>
          <w:numId w:val="11"/>
        </w:numPr>
        <w:autoSpaceDE w:val="0"/>
        <w:autoSpaceDN w:val="0"/>
        <w:adjustRightInd w:val="0"/>
        <w:ind w:left="851"/>
        <w:rPr>
          <w:snapToGrid w:val="0"/>
        </w:rPr>
      </w:pPr>
      <w:r w:rsidRPr="00651F80">
        <w:rPr>
          <w:snapToGrid w:val="0"/>
        </w:rPr>
        <w:t xml:space="preserve">1kpl. </w:t>
      </w:r>
      <w:r w:rsidRPr="00651F80">
        <w:rPr>
          <w:snapToGrid w:val="0"/>
          <w:szCs w:val="20"/>
        </w:rPr>
        <w:t>specyfikacji technicznej wykonania i odbioru robót budowlanych (</w:t>
      </w:r>
      <w:proofErr w:type="spellStart"/>
      <w:r w:rsidRPr="00651F80">
        <w:rPr>
          <w:snapToGrid w:val="0"/>
          <w:szCs w:val="20"/>
        </w:rPr>
        <w:t>STWiORB</w:t>
      </w:r>
      <w:proofErr w:type="spellEnd"/>
      <w:r w:rsidRPr="00651F80">
        <w:rPr>
          <w:snapToGrid w:val="0"/>
          <w:szCs w:val="20"/>
        </w:rPr>
        <w:t>)</w:t>
      </w:r>
      <w:r>
        <w:rPr>
          <w:snapToGrid w:val="0"/>
          <w:szCs w:val="20"/>
        </w:rPr>
        <w:t>.</w:t>
      </w:r>
    </w:p>
    <w:p w14:paraId="097FA3A4" w14:textId="46E9588B" w:rsidR="00C65B51" w:rsidRDefault="00C65B51" w:rsidP="00511E62">
      <w:pPr>
        <w:pStyle w:val="Styl3"/>
        <w:numPr>
          <w:ilvl w:val="0"/>
          <w:numId w:val="18"/>
        </w:numPr>
        <w:rPr>
          <w:rFonts w:asciiTheme="minorHAnsi" w:hAnsiTheme="minorHAnsi" w:cstheme="minorHAnsi"/>
          <w:color w:val="auto"/>
          <w:szCs w:val="22"/>
        </w:rPr>
      </w:pPr>
      <w:r w:rsidRPr="005F6FAE">
        <w:rPr>
          <w:rFonts w:asciiTheme="minorHAnsi" w:hAnsiTheme="minorHAnsi" w:cstheme="minorHAnsi"/>
          <w:color w:val="auto"/>
          <w:szCs w:val="22"/>
        </w:rPr>
        <w:t xml:space="preserve">Do dokumentacji należy dołączyć płytę CD z zawartością przedmiotu zamówienia w formacie, który </w:t>
      </w:r>
      <w:r w:rsidRPr="005F6FAE">
        <w:rPr>
          <w:rFonts w:asciiTheme="minorHAnsi" w:hAnsiTheme="minorHAnsi" w:cstheme="minorHAnsi"/>
          <w:color w:val="auto"/>
          <w:szCs w:val="22"/>
        </w:rPr>
        <w:lastRenderedPageBreak/>
        <w:t>można odczytać w pakiecie Microsoft Office, schematy i mapy do odczytu w plikach oryginalnych</w:t>
      </w:r>
      <w:r w:rsidR="00091A51">
        <w:rPr>
          <w:rFonts w:asciiTheme="minorHAnsi" w:hAnsiTheme="minorHAnsi" w:cstheme="minorHAnsi"/>
          <w:color w:val="auto"/>
          <w:szCs w:val="22"/>
          <w:lang w:val="pl-PL"/>
        </w:rPr>
        <w:t xml:space="preserve"> .</w:t>
      </w:r>
      <w:proofErr w:type="spellStart"/>
      <w:r w:rsidR="00091A51">
        <w:rPr>
          <w:rFonts w:asciiTheme="minorHAnsi" w:hAnsiTheme="minorHAnsi" w:cstheme="minorHAnsi"/>
          <w:color w:val="auto"/>
          <w:szCs w:val="22"/>
          <w:lang w:val="pl-PL"/>
        </w:rPr>
        <w:t>dwg</w:t>
      </w:r>
      <w:proofErr w:type="spellEnd"/>
      <w:r w:rsidRPr="005F6FAE">
        <w:rPr>
          <w:rFonts w:asciiTheme="minorHAnsi" w:hAnsiTheme="minorHAnsi" w:cstheme="minorHAnsi"/>
          <w:color w:val="auto"/>
          <w:szCs w:val="22"/>
        </w:rPr>
        <w:t xml:space="preserve"> oraz w formacie PDF</w:t>
      </w:r>
      <w:r w:rsidR="00665564">
        <w:rPr>
          <w:rFonts w:asciiTheme="minorHAnsi" w:hAnsiTheme="minorHAnsi" w:cstheme="minorHAnsi"/>
          <w:color w:val="auto"/>
          <w:szCs w:val="22"/>
          <w:lang w:val="pl-PL"/>
        </w:rPr>
        <w:t xml:space="preserve"> i w pliku programu Norma</w:t>
      </w:r>
      <w:r w:rsidRPr="005F6FAE">
        <w:rPr>
          <w:rFonts w:asciiTheme="minorHAnsi" w:hAnsiTheme="minorHAnsi" w:cstheme="minorHAnsi"/>
          <w:color w:val="auto"/>
          <w:szCs w:val="22"/>
        </w:rPr>
        <w:t>.</w:t>
      </w:r>
    </w:p>
    <w:p w14:paraId="00B586D3" w14:textId="32ECEC9E" w:rsidR="00F35B0B" w:rsidRPr="005C5D73" w:rsidRDefault="00F35B0B" w:rsidP="00511E62">
      <w:pPr>
        <w:pStyle w:val="Styl3"/>
        <w:numPr>
          <w:ilvl w:val="0"/>
          <w:numId w:val="18"/>
        </w:numPr>
        <w:rPr>
          <w:rFonts w:asciiTheme="minorHAnsi" w:hAnsiTheme="minorHAnsi" w:cstheme="minorHAnsi"/>
          <w:color w:val="auto"/>
          <w:szCs w:val="22"/>
        </w:rPr>
      </w:pPr>
      <w:r>
        <w:rPr>
          <w:rFonts w:asciiTheme="minorHAnsi" w:hAnsiTheme="minorHAnsi" w:cstheme="minorHAnsi"/>
          <w:color w:val="auto"/>
          <w:szCs w:val="22"/>
          <w:lang w:val="pl-PL"/>
        </w:rPr>
        <w:t>Jedną z wersji elektronicznej projektu należ</w:t>
      </w:r>
      <w:r w:rsidR="00091A51">
        <w:rPr>
          <w:rFonts w:asciiTheme="minorHAnsi" w:hAnsiTheme="minorHAnsi" w:cstheme="minorHAnsi"/>
          <w:color w:val="auto"/>
          <w:szCs w:val="22"/>
          <w:lang w:val="pl-PL"/>
        </w:rPr>
        <w:t xml:space="preserve">y przygotować zgodnie z pkt. 7 </w:t>
      </w:r>
      <w:r>
        <w:rPr>
          <w:rFonts w:asciiTheme="minorHAnsi" w:hAnsiTheme="minorHAnsi" w:cstheme="minorHAnsi"/>
          <w:color w:val="auto"/>
          <w:szCs w:val="22"/>
          <w:lang w:val="pl-PL"/>
        </w:rPr>
        <w:t xml:space="preserve">niniejszej specyfikacji technicznej </w:t>
      </w:r>
      <w:r w:rsidRPr="00091A51">
        <w:rPr>
          <w:rFonts w:asciiTheme="minorHAnsi" w:hAnsiTheme="minorHAnsi" w:cstheme="minorHAnsi"/>
          <w:b/>
          <w:color w:val="auto"/>
          <w:szCs w:val="22"/>
          <w:lang w:val="pl-PL"/>
        </w:rPr>
        <w:t>(bez nazw producentów i nazw własnych)</w:t>
      </w:r>
      <w:r>
        <w:rPr>
          <w:rFonts w:asciiTheme="minorHAnsi" w:hAnsiTheme="minorHAnsi" w:cstheme="minorHAnsi"/>
          <w:color w:val="auto"/>
          <w:szCs w:val="22"/>
          <w:lang w:val="pl-PL"/>
        </w:rPr>
        <w:t>, zgodnie z Rozporządzeniem</w:t>
      </w:r>
      <w:r w:rsidRPr="00F35B0B">
        <w:rPr>
          <w:rFonts w:asciiTheme="minorHAnsi" w:hAnsiTheme="minorHAnsi" w:cstheme="minorHAnsi"/>
          <w:color w:val="auto"/>
          <w:szCs w:val="22"/>
          <w:lang w:val="pl-PL"/>
        </w:rPr>
        <w:t xml:space="preserve"> Ministra Rozwoju i Technologii z dnia 20 grudnia 2021 r. w sprawie szczegółowego zakresu i formy dokumentacji projektowej, specyfikacji technicznych wykonania i </w:t>
      </w:r>
      <w:r w:rsidRPr="00147785">
        <w:rPr>
          <w:rFonts w:asciiTheme="minorHAnsi" w:hAnsiTheme="minorHAnsi" w:cstheme="minorHAnsi"/>
          <w:color w:val="auto"/>
          <w:szCs w:val="22"/>
          <w:lang w:val="pl-PL"/>
        </w:rPr>
        <w:t>odbioru robót budowlanych oraz programu funkcjonalno-użytkowego (Dz. U. poz. 2454).</w:t>
      </w:r>
    </w:p>
    <w:p w14:paraId="2A59A4BE" w14:textId="50C92E5D" w:rsidR="00E00CC6" w:rsidRPr="00147785" w:rsidRDefault="00E00CC6" w:rsidP="00511E62">
      <w:pPr>
        <w:pStyle w:val="Styl3"/>
        <w:numPr>
          <w:ilvl w:val="0"/>
          <w:numId w:val="18"/>
        </w:numPr>
        <w:rPr>
          <w:rFonts w:asciiTheme="minorHAnsi" w:hAnsiTheme="minorHAnsi" w:cstheme="minorHAnsi"/>
          <w:color w:val="auto"/>
          <w:szCs w:val="22"/>
        </w:rPr>
      </w:pPr>
      <w:r w:rsidRPr="00147785">
        <w:rPr>
          <w:rFonts w:asciiTheme="minorHAnsi" w:hAnsiTheme="minorHAnsi" w:cstheme="minorHAnsi"/>
          <w:color w:val="auto"/>
          <w:szCs w:val="22"/>
        </w:rPr>
        <w:t>Wykonawc</w:t>
      </w:r>
      <w:r w:rsidRPr="00147785">
        <w:rPr>
          <w:rFonts w:asciiTheme="minorHAnsi" w:hAnsiTheme="minorHAnsi" w:cstheme="minorHAnsi"/>
          <w:color w:val="auto"/>
          <w:szCs w:val="22"/>
          <w:lang w:val="pl-PL"/>
        </w:rPr>
        <w:t>a</w:t>
      </w:r>
      <w:r w:rsidRPr="00147785">
        <w:rPr>
          <w:rFonts w:asciiTheme="minorHAnsi" w:hAnsiTheme="minorHAnsi" w:cstheme="minorHAnsi"/>
          <w:color w:val="auto"/>
          <w:szCs w:val="22"/>
        </w:rPr>
        <w:t xml:space="preserve"> prac projektowych </w:t>
      </w:r>
      <w:r w:rsidRPr="00147785">
        <w:rPr>
          <w:rFonts w:asciiTheme="minorHAnsi" w:hAnsiTheme="minorHAnsi" w:cstheme="minorHAnsi"/>
          <w:color w:val="auto"/>
          <w:szCs w:val="22"/>
          <w:lang w:val="pl-PL"/>
        </w:rPr>
        <w:t xml:space="preserve">zobowiązany jest do </w:t>
      </w:r>
      <w:r w:rsidRPr="00147785">
        <w:rPr>
          <w:rFonts w:asciiTheme="minorHAnsi" w:hAnsiTheme="minorHAnsi" w:cstheme="minorHAnsi"/>
          <w:color w:val="auto"/>
          <w:szCs w:val="22"/>
        </w:rPr>
        <w:t>aktualizacji kosztorysu/-ów w oparciu o obowiązujące stawki – na wniosek zamawiającego</w:t>
      </w:r>
      <w:r w:rsidRPr="00147785">
        <w:rPr>
          <w:rFonts w:asciiTheme="minorHAnsi" w:hAnsiTheme="minorHAnsi" w:cstheme="minorHAnsi"/>
          <w:color w:val="auto"/>
          <w:szCs w:val="22"/>
          <w:lang w:val="pl-PL"/>
        </w:rPr>
        <w:t xml:space="preserve"> (również po odbiorze dokumentacji projektowej).</w:t>
      </w:r>
    </w:p>
    <w:p w14:paraId="4F0201A0" w14:textId="77777777" w:rsidR="00867569" w:rsidRPr="005F6FAE" w:rsidRDefault="00867569" w:rsidP="000C7774">
      <w:pPr>
        <w:pStyle w:val="Nagwek1"/>
        <w:spacing w:before="120" w:after="120" w:line="240" w:lineRule="auto"/>
        <w:ind w:left="431" w:hanging="431"/>
        <w:rPr>
          <w:rFonts w:asciiTheme="minorHAnsi" w:hAnsiTheme="minorHAnsi" w:cstheme="minorHAnsi"/>
          <w:szCs w:val="22"/>
        </w:rPr>
      </w:pPr>
      <w:bookmarkStart w:id="60" w:name="_Toc399851082"/>
      <w:bookmarkStart w:id="61" w:name="_Toc216678515"/>
      <w:r w:rsidRPr="005F6FAE">
        <w:rPr>
          <w:rFonts w:asciiTheme="minorHAnsi" w:hAnsiTheme="minorHAnsi" w:cstheme="minorHAnsi"/>
          <w:szCs w:val="22"/>
        </w:rPr>
        <w:t xml:space="preserve">Szczegółowe wymagania </w:t>
      </w:r>
      <w:r w:rsidR="001301FD" w:rsidRPr="005F6FAE">
        <w:rPr>
          <w:rFonts w:asciiTheme="minorHAnsi" w:hAnsiTheme="minorHAnsi" w:cstheme="minorHAnsi"/>
          <w:szCs w:val="22"/>
        </w:rPr>
        <w:t>dla</w:t>
      </w:r>
      <w:r w:rsidRPr="005F6FAE">
        <w:rPr>
          <w:rFonts w:asciiTheme="minorHAnsi" w:hAnsiTheme="minorHAnsi" w:cstheme="minorHAnsi"/>
          <w:szCs w:val="22"/>
        </w:rPr>
        <w:t xml:space="preserve"> </w:t>
      </w:r>
      <w:r w:rsidR="006049BA">
        <w:rPr>
          <w:rFonts w:asciiTheme="minorHAnsi" w:hAnsiTheme="minorHAnsi" w:cstheme="minorHAnsi"/>
          <w:szCs w:val="22"/>
        </w:rPr>
        <w:t xml:space="preserve">projektowanych </w:t>
      </w:r>
      <w:r w:rsidR="0089763E" w:rsidRPr="005F6FAE">
        <w:rPr>
          <w:rFonts w:asciiTheme="minorHAnsi" w:hAnsiTheme="minorHAnsi" w:cstheme="minorHAnsi"/>
          <w:szCs w:val="22"/>
        </w:rPr>
        <w:t xml:space="preserve">materiałów i </w:t>
      </w:r>
      <w:r w:rsidR="00E96369" w:rsidRPr="005F6FAE">
        <w:rPr>
          <w:rFonts w:asciiTheme="minorHAnsi" w:hAnsiTheme="minorHAnsi" w:cstheme="minorHAnsi"/>
          <w:szCs w:val="22"/>
        </w:rPr>
        <w:t>urządzeń</w:t>
      </w:r>
      <w:bookmarkEnd w:id="60"/>
      <w:r w:rsidR="006049BA">
        <w:rPr>
          <w:rFonts w:asciiTheme="minorHAnsi" w:hAnsiTheme="minorHAnsi" w:cstheme="minorHAnsi"/>
          <w:szCs w:val="22"/>
        </w:rPr>
        <w:t>.</w:t>
      </w:r>
      <w:bookmarkEnd w:id="61"/>
    </w:p>
    <w:p w14:paraId="41FBA854" w14:textId="77777777" w:rsidR="00882D55" w:rsidRDefault="00882D55" w:rsidP="00882D55">
      <w:pPr>
        <w:pStyle w:val="Nagwek2"/>
      </w:pPr>
      <w:bookmarkStart w:id="62" w:name="_Toc198028119"/>
      <w:bookmarkStart w:id="63" w:name="_Toc216678516"/>
      <w:bookmarkStart w:id="64" w:name="_Toc428713557"/>
      <w:bookmarkStart w:id="65" w:name="_Toc412746431"/>
      <w:r w:rsidRPr="00B658DB">
        <w:t>Rozdzielnia 110kV</w:t>
      </w:r>
      <w:bookmarkEnd w:id="62"/>
      <w:bookmarkEnd w:id="63"/>
      <w:r w:rsidRPr="00B658DB">
        <w:t xml:space="preserve"> </w:t>
      </w:r>
    </w:p>
    <w:p w14:paraId="3F497E0D" w14:textId="77777777" w:rsidR="00882D55" w:rsidRPr="00882D55" w:rsidRDefault="00B12E9F" w:rsidP="00941EC8">
      <w:pPr>
        <w:pStyle w:val="Bezodstpw"/>
        <w:tabs>
          <w:tab w:val="left" w:pos="709"/>
        </w:tabs>
        <w:spacing w:line="276" w:lineRule="auto"/>
        <w:rPr>
          <w:rFonts w:ascii="Calibri" w:hAnsi="Calibri"/>
          <w:snapToGrid w:val="0"/>
        </w:rPr>
      </w:pPr>
      <w:r>
        <w:t xml:space="preserve">     </w:t>
      </w:r>
      <w:r w:rsidR="00882D55" w:rsidRPr="00882D55">
        <w:rPr>
          <w:rFonts w:ascii="Calibri" w:hAnsi="Calibri"/>
          <w:snapToGrid w:val="0"/>
        </w:rPr>
        <w:t>Przykładowy schemat rozdzielni 110kV stacji przedstawia załącznik nr 2.</w:t>
      </w:r>
    </w:p>
    <w:p w14:paraId="01759D95" w14:textId="77777777" w:rsidR="00882D55" w:rsidRPr="00882D55" w:rsidRDefault="00882D55" w:rsidP="00941EC8">
      <w:pPr>
        <w:widowControl w:val="0"/>
        <w:autoSpaceDE w:val="0"/>
        <w:autoSpaceDN w:val="0"/>
        <w:adjustRightInd w:val="0"/>
        <w:spacing w:before="0" w:after="0" w:line="276" w:lineRule="auto"/>
        <w:ind w:left="0" w:firstLine="0"/>
        <w:jc w:val="left"/>
        <w:rPr>
          <w:rFonts w:ascii="Calibri" w:hAnsi="Calibri"/>
          <w:snapToGrid w:val="0"/>
          <w:sz w:val="22"/>
          <w:szCs w:val="22"/>
        </w:rPr>
      </w:pPr>
      <w:r w:rsidRPr="00882D55">
        <w:rPr>
          <w:rFonts w:ascii="Calibri" w:hAnsi="Calibri"/>
          <w:snapToGrid w:val="0"/>
          <w:sz w:val="22"/>
          <w:szCs w:val="22"/>
        </w:rPr>
        <w:t xml:space="preserve">Zastosowana aparatura 110 </w:t>
      </w:r>
      <w:proofErr w:type="spellStart"/>
      <w:r w:rsidRPr="00882D55">
        <w:rPr>
          <w:rFonts w:ascii="Calibri" w:hAnsi="Calibri"/>
          <w:snapToGrid w:val="0"/>
          <w:sz w:val="22"/>
          <w:szCs w:val="22"/>
        </w:rPr>
        <w:t>kV</w:t>
      </w:r>
      <w:proofErr w:type="spellEnd"/>
      <w:r w:rsidRPr="00882D55">
        <w:rPr>
          <w:rFonts w:ascii="Calibri" w:hAnsi="Calibri"/>
          <w:snapToGrid w:val="0"/>
          <w:sz w:val="22"/>
          <w:szCs w:val="22"/>
        </w:rPr>
        <w:t xml:space="preserve"> musi być obecnie produkowana i stosowana w energetyce UE.</w:t>
      </w:r>
    </w:p>
    <w:p w14:paraId="182AFCFA" w14:textId="77777777" w:rsidR="00882D55" w:rsidRPr="00882D55" w:rsidRDefault="00882D55" w:rsidP="00941EC8">
      <w:pPr>
        <w:widowControl w:val="0"/>
        <w:tabs>
          <w:tab w:val="left" w:pos="8364"/>
        </w:tabs>
        <w:autoSpaceDE w:val="0"/>
        <w:autoSpaceDN w:val="0"/>
        <w:adjustRightInd w:val="0"/>
        <w:spacing w:before="0" w:after="0" w:line="276" w:lineRule="auto"/>
        <w:ind w:left="0" w:firstLine="0"/>
        <w:rPr>
          <w:rFonts w:ascii="Calibri" w:hAnsi="Calibri"/>
          <w:snapToGrid w:val="0"/>
          <w:sz w:val="22"/>
          <w:szCs w:val="22"/>
        </w:rPr>
      </w:pPr>
      <w:r w:rsidRPr="00882D55">
        <w:rPr>
          <w:rFonts w:ascii="Calibri" w:hAnsi="Calibri"/>
          <w:snapToGrid w:val="0"/>
          <w:sz w:val="22"/>
          <w:szCs w:val="22"/>
        </w:rPr>
        <w:t xml:space="preserve">Przewiduje się budowę rozdzielnicy 110 </w:t>
      </w:r>
      <w:proofErr w:type="spellStart"/>
      <w:r w:rsidRPr="00882D55">
        <w:rPr>
          <w:rFonts w:ascii="Calibri" w:hAnsi="Calibri"/>
          <w:snapToGrid w:val="0"/>
          <w:sz w:val="22"/>
          <w:szCs w:val="22"/>
        </w:rPr>
        <w:t>kV</w:t>
      </w:r>
      <w:proofErr w:type="spellEnd"/>
      <w:r w:rsidRPr="00882D55">
        <w:rPr>
          <w:rFonts w:ascii="Calibri" w:hAnsi="Calibri"/>
          <w:snapToGrid w:val="0"/>
          <w:sz w:val="22"/>
          <w:szCs w:val="22"/>
        </w:rPr>
        <w:t xml:space="preserve">  w technologii tradycyjnej, składającej się z:</w:t>
      </w:r>
    </w:p>
    <w:p w14:paraId="42EECCAE"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dwóch systemów sekcjonowanych szyn zbiorczych,</w:t>
      </w:r>
    </w:p>
    <w:p w14:paraId="5E2F1590"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dziesięciu pól liniowych (Grodzisk, Żyrardów, Sochaczew tor 1, Teresin, Bielnik, Sochaczew tor 2, CPK2, CPK4, 2 x pole rezerwowe ),</w:t>
      </w:r>
    </w:p>
    <w:p w14:paraId="4F5B13CC"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pola transformatorowe TR1 i TR2,</w:t>
      </w:r>
    </w:p>
    <w:p w14:paraId="741354D2"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pola sprz</w:t>
      </w:r>
      <w:r w:rsidRPr="00DF779F">
        <w:rPr>
          <w:rFonts w:asciiTheme="minorHAnsi" w:eastAsia="TimesNewRoman" w:hAnsiTheme="minorHAnsi" w:cstheme="minorHAnsi"/>
          <w:sz w:val="22"/>
          <w:szCs w:val="22"/>
        </w:rPr>
        <w:t>ę</w:t>
      </w:r>
      <w:r w:rsidRPr="00DF779F">
        <w:rPr>
          <w:rFonts w:asciiTheme="minorHAnsi" w:hAnsiTheme="minorHAnsi" w:cstheme="minorHAnsi"/>
          <w:sz w:val="22"/>
          <w:szCs w:val="22"/>
        </w:rPr>
        <w:t>gła poprzeczno-podłużnego,</w:t>
      </w:r>
    </w:p>
    <w:p w14:paraId="24A9E2B8"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szyny obejściowej</w:t>
      </w:r>
    </w:p>
    <w:p w14:paraId="246B6C03" w14:textId="77777777" w:rsidR="00271919" w:rsidRPr="00DF779F" w:rsidRDefault="00271919" w:rsidP="00B628F4">
      <w:pPr>
        <w:widowControl w:val="0"/>
        <w:numPr>
          <w:ilvl w:val="0"/>
          <w:numId w:val="40"/>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 xml:space="preserve">pozostawienie miejsca dla 4 pól rezerwowych (patrz pkt. 6 </w:t>
      </w:r>
      <w:proofErr w:type="spellStart"/>
      <w:r w:rsidRPr="00DF779F">
        <w:rPr>
          <w:rFonts w:asciiTheme="minorHAnsi" w:hAnsiTheme="minorHAnsi" w:cstheme="minorHAnsi"/>
          <w:sz w:val="22"/>
          <w:szCs w:val="22"/>
        </w:rPr>
        <w:t>A.drugi</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teryt</w:t>
      </w:r>
      <w:proofErr w:type="spellEnd"/>
      <w:r w:rsidRPr="00DF779F">
        <w:rPr>
          <w:rFonts w:asciiTheme="minorHAnsi" w:hAnsiTheme="minorHAnsi" w:cstheme="minorHAnsi"/>
          <w:sz w:val="22"/>
          <w:szCs w:val="22"/>
        </w:rPr>
        <w:t>.)</w:t>
      </w:r>
    </w:p>
    <w:p w14:paraId="5A82FB15" w14:textId="77777777" w:rsidR="00882D55" w:rsidRPr="00882D55" w:rsidRDefault="00882D55" w:rsidP="00941EC8">
      <w:pPr>
        <w:widowControl w:val="0"/>
        <w:autoSpaceDE w:val="0"/>
        <w:autoSpaceDN w:val="0"/>
        <w:adjustRightInd w:val="0"/>
        <w:spacing w:before="0" w:after="0" w:line="276" w:lineRule="auto"/>
        <w:ind w:left="0" w:firstLine="0"/>
        <w:jc w:val="left"/>
        <w:rPr>
          <w:rFonts w:ascii="Calibri" w:hAnsi="Calibri"/>
          <w:snapToGrid w:val="0"/>
          <w:sz w:val="22"/>
          <w:szCs w:val="22"/>
        </w:rPr>
      </w:pPr>
    </w:p>
    <w:p w14:paraId="6DE73A27" w14:textId="77777777" w:rsidR="00882D55" w:rsidRPr="00882D55" w:rsidRDefault="00882D55" w:rsidP="00941EC8">
      <w:pPr>
        <w:widowControl w:val="0"/>
        <w:autoSpaceDE w:val="0"/>
        <w:autoSpaceDN w:val="0"/>
        <w:adjustRightInd w:val="0"/>
        <w:spacing w:before="0" w:after="0" w:line="276" w:lineRule="auto"/>
        <w:ind w:left="0" w:firstLine="0"/>
        <w:jc w:val="left"/>
        <w:rPr>
          <w:rFonts w:ascii="Calibri" w:hAnsi="Calibri"/>
          <w:snapToGrid w:val="0"/>
          <w:sz w:val="22"/>
          <w:szCs w:val="22"/>
        </w:rPr>
      </w:pPr>
      <w:r w:rsidRPr="00882D55">
        <w:rPr>
          <w:rFonts w:ascii="Calibri" w:hAnsi="Calibri"/>
          <w:snapToGrid w:val="0"/>
          <w:sz w:val="22"/>
          <w:szCs w:val="22"/>
        </w:rPr>
        <w:t>Szyny zbiorcze rozdzielni 110kV wyposażone w dodatkową szynę obejściową powinny umożliwiać przyłączenie w przyszłości dodatkowych sześciu pól liniowych i dwóch pól transformatorowych.</w:t>
      </w:r>
    </w:p>
    <w:p w14:paraId="5AAEEF17" w14:textId="77777777" w:rsidR="00882D55" w:rsidRPr="00882D55" w:rsidRDefault="00882D55" w:rsidP="00941EC8">
      <w:pPr>
        <w:widowControl w:val="0"/>
        <w:autoSpaceDE w:val="0"/>
        <w:autoSpaceDN w:val="0"/>
        <w:adjustRightInd w:val="0"/>
        <w:spacing w:before="0" w:after="0" w:line="276" w:lineRule="auto"/>
        <w:ind w:left="0" w:firstLine="0"/>
        <w:jc w:val="left"/>
        <w:rPr>
          <w:rFonts w:ascii="Calibri" w:hAnsi="Calibri" w:cs="Calibri"/>
          <w:snapToGrid w:val="0"/>
          <w:sz w:val="22"/>
          <w:szCs w:val="22"/>
        </w:rPr>
      </w:pPr>
    </w:p>
    <w:p w14:paraId="04172831" w14:textId="77777777" w:rsidR="00882D55" w:rsidRPr="00882D55" w:rsidRDefault="00882D55" w:rsidP="00941EC8">
      <w:pPr>
        <w:widowControl w:val="0"/>
        <w:autoSpaceDE w:val="0"/>
        <w:autoSpaceDN w:val="0"/>
        <w:adjustRightInd w:val="0"/>
        <w:spacing w:before="0" w:after="0" w:line="276" w:lineRule="auto"/>
        <w:ind w:left="0" w:firstLine="0"/>
        <w:jc w:val="left"/>
        <w:rPr>
          <w:rFonts w:ascii="Calibri" w:hAnsi="Calibri" w:cs="Calibri"/>
          <w:snapToGrid w:val="0"/>
          <w:sz w:val="22"/>
          <w:szCs w:val="22"/>
        </w:rPr>
      </w:pPr>
      <w:r w:rsidRPr="00882D55">
        <w:rPr>
          <w:rFonts w:ascii="Calibri" w:hAnsi="Calibri" w:cs="Calibri"/>
          <w:snapToGrid w:val="0"/>
          <w:sz w:val="22"/>
          <w:szCs w:val="22"/>
        </w:rPr>
        <w:t>Wymagania:</w:t>
      </w:r>
    </w:p>
    <w:p w14:paraId="632B3463" w14:textId="39157F8B" w:rsidR="00271919" w:rsidRPr="00DF779F" w:rsidRDefault="00271919" w:rsidP="00B628F4">
      <w:pPr>
        <w:widowControl w:val="0"/>
        <w:numPr>
          <w:ilvl w:val="0"/>
          <w:numId w:val="41"/>
        </w:numPr>
        <w:autoSpaceDE w:val="0"/>
        <w:autoSpaceDN w:val="0"/>
        <w:adjustRightInd w:val="0"/>
        <w:spacing w:before="0" w:after="0"/>
        <w:rPr>
          <w:rFonts w:asciiTheme="minorHAnsi" w:hAnsiTheme="minorHAnsi" w:cstheme="minorHAnsi"/>
          <w:snapToGrid w:val="0"/>
          <w:sz w:val="22"/>
          <w:szCs w:val="22"/>
        </w:rPr>
      </w:pPr>
      <w:proofErr w:type="spellStart"/>
      <w:r w:rsidRPr="00DF779F">
        <w:rPr>
          <w:rFonts w:asciiTheme="minorHAnsi" w:hAnsiTheme="minorHAnsi" w:cstheme="minorHAnsi"/>
          <w:sz w:val="22"/>
          <w:szCs w:val="22"/>
        </w:rPr>
        <w:t>oszynowanie</w:t>
      </w:r>
      <w:proofErr w:type="spellEnd"/>
      <w:r w:rsidRPr="00DF779F">
        <w:rPr>
          <w:rFonts w:asciiTheme="minorHAnsi" w:hAnsiTheme="minorHAnsi" w:cstheme="minorHAnsi"/>
          <w:sz w:val="22"/>
          <w:szCs w:val="22"/>
        </w:rPr>
        <w:t xml:space="preserve"> szyn 110kV powinno być wykonane przy użyciu systemu rurowego umożliwiającego przepływ mocy rzędu minimum</w:t>
      </w:r>
      <w:r w:rsidRPr="00DF779F">
        <w:rPr>
          <w:rFonts w:asciiTheme="minorHAnsi" w:hAnsiTheme="minorHAnsi" w:cstheme="minorHAnsi"/>
          <w:b/>
          <w:sz w:val="22"/>
          <w:szCs w:val="22"/>
        </w:rPr>
        <w:t xml:space="preserve"> </w:t>
      </w:r>
      <w:r w:rsidRPr="00DF779F">
        <w:rPr>
          <w:rFonts w:asciiTheme="minorHAnsi" w:hAnsiTheme="minorHAnsi" w:cstheme="minorHAnsi"/>
          <w:bCs/>
          <w:sz w:val="22"/>
          <w:szCs w:val="22"/>
        </w:rPr>
        <w:t>250MW</w:t>
      </w:r>
      <w:r>
        <w:rPr>
          <w:rFonts w:asciiTheme="minorHAnsi" w:hAnsiTheme="minorHAnsi" w:cstheme="minorHAnsi"/>
          <w:bCs/>
          <w:sz w:val="22"/>
          <w:szCs w:val="22"/>
        </w:rPr>
        <w:t xml:space="preserve"> (szczegóły do ustalenia na etapie projektowania)</w:t>
      </w:r>
      <w:r w:rsidRPr="00DF779F">
        <w:rPr>
          <w:rFonts w:asciiTheme="minorHAnsi" w:hAnsiTheme="minorHAnsi" w:cstheme="minorHAnsi"/>
          <w:sz w:val="22"/>
          <w:szCs w:val="22"/>
        </w:rPr>
        <w:t>,</w:t>
      </w:r>
    </w:p>
    <w:p w14:paraId="0B859455" w14:textId="77777777" w:rsidR="00271919" w:rsidRPr="00DF779F" w:rsidRDefault="00271919" w:rsidP="00B628F4">
      <w:pPr>
        <w:widowControl w:val="0"/>
        <w:numPr>
          <w:ilvl w:val="0"/>
          <w:numId w:val="41"/>
        </w:numPr>
        <w:autoSpaceDE w:val="0"/>
        <w:autoSpaceDN w:val="0"/>
        <w:adjustRightInd w:val="0"/>
        <w:spacing w:before="0" w:after="0"/>
        <w:rPr>
          <w:rFonts w:asciiTheme="minorHAnsi" w:hAnsiTheme="minorHAnsi" w:cstheme="minorHAnsi"/>
          <w:snapToGrid w:val="0"/>
          <w:sz w:val="22"/>
          <w:szCs w:val="22"/>
        </w:rPr>
      </w:pPr>
      <w:r w:rsidRPr="00DF779F">
        <w:rPr>
          <w:rFonts w:asciiTheme="minorHAnsi" w:hAnsiTheme="minorHAnsi" w:cstheme="minorHAnsi"/>
          <w:sz w:val="22"/>
          <w:szCs w:val="22"/>
        </w:rPr>
        <w:t xml:space="preserve">wszelka aparatura rozdzielni 110kV musi być ustawiona na fundamentach oraz na wysokich konstrukcjach, </w:t>
      </w:r>
    </w:p>
    <w:p w14:paraId="1E98369B" w14:textId="77777777" w:rsidR="00271919" w:rsidRPr="00DF779F" w:rsidRDefault="00271919" w:rsidP="00B628F4">
      <w:pPr>
        <w:widowControl w:val="0"/>
        <w:numPr>
          <w:ilvl w:val="0"/>
          <w:numId w:val="41"/>
        </w:numPr>
        <w:autoSpaceDE w:val="0"/>
        <w:autoSpaceDN w:val="0"/>
        <w:adjustRightInd w:val="0"/>
        <w:spacing w:before="0" w:after="0"/>
        <w:rPr>
          <w:rFonts w:asciiTheme="minorHAnsi" w:hAnsiTheme="minorHAnsi" w:cstheme="minorHAnsi"/>
          <w:snapToGrid w:val="0"/>
          <w:sz w:val="22"/>
          <w:szCs w:val="22"/>
        </w:rPr>
      </w:pPr>
      <w:r w:rsidRPr="00DF779F">
        <w:rPr>
          <w:rFonts w:asciiTheme="minorHAnsi" w:hAnsiTheme="minorHAnsi" w:cstheme="minorHAnsi"/>
          <w:sz w:val="22"/>
          <w:szCs w:val="22"/>
        </w:rPr>
        <w:t>szafki kablowe rozdzielni 110kV wykonane na konstrukcjach zabezpieczających przed zalaniem od strony sąsiadującej rzeki</w:t>
      </w:r>
    </w:p>
    <w:p w14:paraId="507394DA" w14:textId="77777777" w:rsidR="00271919" w:rsidRPr="00DF779F" w:rsidRDefault="00271919" w:rsidP="00B628F4">
      <w:pPr>
        <w:widowControl w:val="0"/>
        <w:numPr>
          <w:ilvl w:val="0"/>
          <w:numId w:val="41"/>
        </w:numPr>
        <w:autoSpaceDE w:val="0"/>
        <w:autoSpaceDN w:val="0"/>
        <w:adjustRightInd w:val="0"/>
        <w:spacing w:before="0" w:after="0"/>
        <w:rPr>
          <w:rFonts w:asciiTheme="minorHAnsi" w:hAnsiTheme="minorHAnsi" w:cstheme="minorHAnsi"/>
          <w:snapToGrid w:val="0"/>
          <w:sz w:val="22"/>
          <w:szCs w:val="22"/>
        </w:rPr>
      </w:pPr>
      <w:r w:rsidRPr="00DF779F">
        <w:rPr>
          <w:rFonts w:asciiTheme="minorHAnsi" w:hAnsiTheme="minorHAnsi" w:cstheme="minorHAnsi"/>
          <w:sz w:val="22"/>
          <w:szCs w:val="22"/>
        </w:rPr>
        <w:t>rodzaje i wymiary fundamentów należy dobrać na podstawie obliczeń statycznych dla normalnych warunków pracy i w oparciu o istniejące warunki geotechniczne. Fundamenty dla konstrukcji wysokich należy wykonać na miejscu lub zastosować prefabrykaty. Fundamenty powinny być zabezpieczone od wpływów środowiska,</w:t>
      </w:r>
    </w:p>
    <w:p w14:paraId="7D22400A" w14:textId="77777777" w:rsidR="00271919" w:rsidRPr="00DF779F" w:rsidRDefault="00271919" w:rsidP="00B628F4">
      <w:pPr>
        <w:widowControl w:val="0"/>
        <w:numPr>
          <w:ilvl w:val="0"/>
          <w:numId w:val="41"/>
        </w:numPr>
        <w:autoSpaceDE w:val="0"/>
        <w:autoSpaceDN w:val="0"/>
        <w:adjustRightInd w:val="0"/>
        <w:spacing w:before="0" w:after="0"/>
        <w:rPr>
          <w:rFonts w:asciiTheme="minorHAnsi" w:hAnsiTheme="minorHAnsi" w:cstheme="minorHAnsi"/>
          <w:snapToGrid w:val="0"/>
          <w:sz w:val="22"/>
          <w:szCs w:val="22"/>
        </w:rPr>
      </w:pPr>
      <w:r w:rsidRPr="00DF779F">
        <w:rPr>
          <w:rFonts w:asciiTheme="minorHAnsi" w:hAnsiTheme="minorHAnsi" w:cstheme="minorHAnsi"/>
          <w:sz w:val="22"/>
          <w:szCs w:val="22"/>
        </w:rPr>
        <w:t xml:space="preserve">konstrukcje rozdzielni 110kV winny być pomalowane w kolorach pastelowych (system I – kolor niebieski, system II – kolor zielony, sprzęgło – kolor pomarańczowy). </w:t>
      </w:r>
    </w:p>
    <w:p w14:paraId="1A21C6AA" w14:textId="77777777" w:rsidR="00882D55" w:rsidRPr="00882D55" w:rsidRDefault="00882D55" w:rsidP="00941EC8">
      <w:pPr>
        <w:widowControl w:val="0"/>
        <w:autoSpaceDE w:val="0"/>
        <w:autoSpaceDN w:val="0"/>
        <w:adjustRightInd w:val="0"/>
        <w:spacing w:before="0" w:after="0" w:line="276" w:lineRule="auto"/>
        <w:ind w:left="0" w:firstLine="0"/>
        <w:rPr>
          <w:rFonts w:ascii="Calibri" w:hAnsi="Calibri" w:cs="Calibri"/>
          <w:sz w:val="22"/>
          <w:szCs w:val="22"/>
        </w:rPr>
      </w:pPr>
    </w:p>
    <w:p w14:paraId="1CCF395B" w14:textId="77777777" w:rsidR="00882D55" w:rsidRPr="00882D55" w:rsidRDefault="00882D55" w:rsidP="00941EC8">
      <w:pPr>
        <w:widowControl w:val="0"/>
        <w:autoSpaceDE w:val="0"/>
        <w:autoSpaceDN w:val="0"/>
        <w:adjustRightInd w:val="0"/>
        <w:spacing w:before="0" w:after="0" w:line="276" w:lineRule="auto"/>
        <w:ind w:left="0" w:firstLine="0"/>
        <w:rPr>
          <w:rFonts w:ascii="Calibri" w:hAnsi="Calibri" w:cs="Calibri"/>
          <w:snapToGrid w:val="0"/>
          <w:sz w:val="22"/>
          <w:szCs w:val="22"/>
        </w:rPr>
      </w:pPr>
    </w:p>
    <w:p w14:paraId="54D82A7B" w14:textId="77777777" w:rsidR="00882D55" w:rsidRPr="00882D55" w:rsidRDefault="00882D55" w:rsidP="00941EC8">
      <w:pPr>
        <w:keepNext/>
        <w:widowControl w:val="0"/>
        <w:autoSpaceDE w:val="0"/>
        <w:autoSpaceDN w:val="0"/>
        <w:adjustRightInd w:val="0"/>
        <w:spacing w:before="0" w:after="0"/>
        <w:ind w:left="0" w:firstLine="0"/>
        <w:jc w:val="left"/>
        <w:rPr>
          <w:rFonts w:ascii="Calibri" w:hAnsi="Calibri" w:cs="Calibri"/>
          <w:sz w:val="22"/>
          <w:szCs w:val="22"/>
        </w:rPr>
      </w:pPr>
      <w:r w:rsidRPr="00882D55">
        <w:rPr>
          <w:rFonts w:ascii="Calibri" w:hAnsi="Calibri" w:cs="Calibri"/>
          <w:sz w:val="22"/>
          <w:szCs w:val="22"/>
        </w:rPr>
        <w:t>Technologia malowania:</w:t>
      </w:r>
    </w:p>
    <w:p w14:paraId="60380D1F" w14:textId="77777777" w:rsidR="00271919" w:rsidRPr="00271919" w:rsidRDefault="00271919" w:rsidP="00B628F4">
      <w:pPr>
        <w:widowControl w:val="0"/>
        <w:numPr>
          <w:ilvl w:val="0"/>
          <w:numId w:val="42"/>
        </w:numPr>
        <w:autoSpaceDE w:val="0"/>
        <w:autoSpaceDN w:val="0"/>
        <w:adjustRightInd w:val="0"/>
        <w:spacing w:before="0" w:after="0"/>
        <w:contextualSpacing/>
        <w:jc w:val="left"/>
        <w:rPr>
          <w:rFonts w:asciiTheme="minorHAnsi" w:hAnsiTheme="minorHAnsi" w:cstheme="minorHAnsi"/>
          <w:sz w:val="22"/>
          <w:szCs w:val="22"/>
        </w:rPr>
      </w:pPr>
      <w:r w:rsidRPr="00271919">
        <w:rPr>
          <w:rFonts w:asciiTheme="minorHAnsi" w:hAnsiTheme="minorHAnsi" w:cstheme="minorHAnsi"/>
          <w:sz w:val="22"/>
          <w:szCs w:val="22"/>
        </w:rPr>
        <w:t>konstrukcje rozdzielni 110kV malowane po montażu,</w:t>
      </w:r>
    </w:p>
    <w:p w14:paraId="615C58D8" w14:textId="77777777" w:rsidR="00271919" w:rsidRPr="00271919" w:rsidRDefault="00271919" w:rsidP="00B628F4">
      <w:pPr>
        <w:widowControl w:val="0"/>
        <w:numPr>
          <w:ilvl w:val="0"/>
          <w:numId w:val="42"/>
        </w:numPr>
        <w:autoSpaceDE w:val="0"/>
        <w:autoSpaceDN w:val="0"/>
        <w:adjustRightInd w:val="0"/>
        <w:spacing w:before="0" w:after="0"/>
        <w:contextualSpacing/>
        <w:rPr>
          <w:rFonts w:asciiTheme="minorHAnsi" w:hAnsiTheme="minorHAnsi" w:cstheme="minorHAnsi"/>
          <w:sz w:val="22"/>
          <w:szCs w:val="22"/>
        </w:rPr>
      </w:pPr>
      <w:r w:rsidRPr="00271919">
        <w:rPr>
          <w:rFonts w:asciiTheme="minorHAnsi" w:hAnsiTheme="minorHAnsi" w:cstheme="minorHAnsi"/>
          <w:sz w:val="22"/>
          <w:szCs w:val="22"/>
        </w:rPr>
        <w:t xml:space="preserve">dwukrotne malowanie konstrukcji farbami grubo powłokowymi typu poliwinylowego lub winylowo-akrylowego, </w:t>
      </w:r>
    </w:p>
    <w:p w14:paraId="2EC9369A" w14:textId="77777777" w:rsidR="00271919" w:rsidRPr="00271919" w:rsidRDefault="00271919" w:rsidP="00B628F4">
      <w:pPr>
        <w:widowControl w:val="0"/>
        <w:numPr>
          <w:ilvl w:val="0"/>
          <w:numId w:val="42"/>
        </w:numPr>
        <w:autoSpaceDE w:val="0"/>
        <w:autoSpaceDN w:val="0"/>
        <w:adjustRightInd w:val="0"/>
        <w:spacing w:before="0" w:after="0"/>
        <w:contextualSpacing/>
        <w:rPr>
          <w:rFonts w:asciiTheme="minorHAnsi" w:hAnsiTheme="minorHAnsi" w:cstheme="minorHAnsi"/>
          <w:sz w:val="22"/>
          <w:szCs w:val="22"/>
        </w:rPr>
      </w:pPr>
      <w:r w:rsidRPr="00271919">
        <w:rPr>
          <w:rFonts w:asciiTheme="minorHAnsi" w:hAnsiTheme="minorHAnsi" w:cstheme="minorHAnsi"/>
          <w:sz w:val="22"/>
          <w:szCs w:val="22"/>
        </w:rPr>
        <w:lastRenderedPageBreak/>
        <w:t xml:space="preserve">warstwa podkładowa jak i warstwa nawierzchniowa po wyschnięciu powinna mieć na sucho min. 80-100 </w:t>
      </w:r>
      <w:r w:rsidRPr="00271919">
        <w:rPr>
          <w:rFonts w:asciiTheme="minorHAnsi" w:hAnsiTheme="minorHAnsi" w:cstheme="minorHAnsi"/>
          <w:sz w:val="22"/>
          <w:szCs w:val="22"/>
        </w:rPr>
        <w:sym w:font="Symbol" w:char="F06D"/>
      </w:r>
      <w:r w:rsidRPr="00271919">
        <w:rPr>
          <w:rFonts w:asciiTheme="minorHAnsi" w:hAnsiTheme="minorHAnsi" w:cstheme="minorHAnsi"/>
          <w:sz w:val="22"/>
          <w:szCs w:val="22"/>
        </w:rPr>
        <w:t>m grubości każda,</w:t>
      </w:r>
    </w:p>
    <w:p w14:paraId="78408D81" w14:textId="77777777" w:rsidR="00271919" w:rsidRPr="00271919" w:rsidRDefault="00271919" w:rsidP="00B628F4">
      <w:pPr>
        <w:widowControl w:val="0"/>
        <w:numPr>
          <w:ilvl w:val="0"/>
          <w:numId w:val="42"/>
        </w:numPr>
        <w:autoSpaceDE w:val="0"/>
        <w:autoSpaceDN w:val="0"/>
        <w:adjustRightInd w:val="0"/>
        <w:spacing w:before="0" w:after="0"/>
        <w:contextualSpacing/>
        <w:rPr>
          <w:rFonts w:asciiTheme="minorHAnsi" w:hAnsiTheme="minorHAnsi" w:cstheme="minorHAnsi"/>
          <w:sz w:val="22"/>
          <w:szCs w:val="22"/>
        </w:rPr>
      </w:pPr>
      <w:r w:rsidRPr="00271919">
        <w:rPr>
          <w:rFonts w:asciiTheme="minorHAnsi" w:hAnsiTheme="minorHAnsi" w:cstheme="minorHAnsi"/>
          <w:sz w:val="22"/>
          <w:szCs w:val="22"/>
        </w:rPr>
        <w:t>poszczególne warstwy muszą mieć różne kolory, warstwa podkładowa powinna być czerwona.</w:t>
      </w:r>
    </w:p>
    <w:p w14:paraId="7EEF2F31" w14:textId="77777777" w:rsidR="00882D55" w:rsidRPr="00882D55" w:rsidRDefault="00882D55" w:rsidP="00941EC8">
      <w:pPr>
        <w:widowControl w:val="0"/>
        <w:autoSpaceDE w:val="0"/>
        <w:autoSpaceDN w:val="0"/>
        <w:adjustRightInd w:val="0"/>
        <w:ind w:left="0" w:firstLine="0"/>
        <w:contextualSpacing/>
        <w:textAlignment w:val="baseline"/>
        <w:rPr>
          <w:rFonts w:ascii="Calibri" w:hAnsi="Calibri" w:cs="Calibri"/>
          <w:snapToGrid w:val="0"/>
          <w:sz w:val="22"/>
          <w:szCs w:val="22"/>
        </w:rPr>
      </w:pPr>
    </w:p>
    <w:p w14:paraId="38F2786B" w14:textId="77777777" w:rsidR="00882D55" w:rsidRPr="00882D55" w:rsidRDefault="00882D55" w:rsidP="00941EC8">
      <w:pPr>
        <w:widowControl w:val="0"/>
        <w:autoSpaceDE w:val="0"/>
        <w:autoSpaceDN w:val="0"/>
        <w:adjustRightInd w:val="0"/>
        <w:ind w:left="0" w:firstLine="0"/>
        <w:contextualSpacing/>
        <w:textAlignment w:val="baseline"/>
        <w:rPr>
          <w:rFonts w:ascii="Calibri" w:hAnsi="Calibri" w:cs="Calibri"/>
          <w:snapToGrid w:val="0"/>
          <w:sz w:val="22"/>
          <w:szCs w:val="22"/>
        </w:rPr>
      </w:pPr>
    </w:p>
    <w:p w14:paraId="49026009" w14:textId="77777777" w:rsidR="00882D55" w:rsidRPr="00882D55" w:rsidRDefault="00882D55" w:rsidP="00941EC8">
      <w:pPr>
        <w:widowControl w:val="0"/>
        <w:autoSpaceDE w:val="0"/>
        <w:autoSpaceDN w:val="0"/>
        <w:adjustRightInd w:val="0"/>
        <w:ind w:left="0" w:firstLine="0"/>
        <w:contextualSpacing/>
        <w:textAlignment w:val="baseline"/>
        <w:rPr>
          <w:rFonts w:ascii="Calibri" w:hAnsi="Calibri" w:cs="Calibri"/>
          <w:snapToGrid w:val="0"/>
          <w:sz w:val="22"/>
          <w:szCs w:val="22"/>
        </w:rPr>
      </w:pPr>
      <w:r w:rsidRPr="00882D55">
        <w:rPr>
          <w:rFonts w:ascii="Calibri" w:hAnsi="Calibri" w:cs="Calibri"/>
          <w:snapToGrid w:val="0"/>
          <w:sz w:val="22"/>
          <w:szCs w:val="22"/>
        </w:rPr>
        <w:t>Rozdzielnia 110kV:</w:t>
      </w:r>
    </w:p>
    <w:p w14:paraId="34BC60F1" w14:textId="77777777" w:rsidR="00271919" w:rsidRPr="00DF779F" w:rsidRDefault="00271919"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DF779F">
        <w:rPr>
          <w:rFonts w:asciiTheme="minorHAnsi" w:hAnsiTheme="minorHAnsi" w:cstheme="minorHAnsi"/>
          <w:snapToGrid w:val="0"/>
          <w:sz w:val="22"/>
          <w:szCs w:val="22"/>
        </w:rPr>
        <w:t>w wykonaniu tradycyjnym,</w:t>
      </w:r>
    </w:p>
    <w:p w14:paraId="39DFDF7C" w14:textId="77777777" w:rsidR="00271919" w:rsidRPr="00DF779F" w:rsidRDefault="00271919"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DF779F">
        <w:rPr>
          <w:rFonts w:asciiTheme="minorHAnsi" w:hAnsiTheme="minorHAnsi" w:cstheme="minorHAnsi"/>
          <w:snapToGrid w:val="0"/>
          <w:sz w:val="22"/>
          <w:szCs w:val="22"/>
        </w:rPr>
        <w:t>pola liniowe wyposażone w 3 odłączniki szynowe z uziemnikami (system 1, system 2, szyna obejściowa), wyłącznik, przekładniki prądowe, przekładniki napięciowe, odłącznik liniowy z uziemnikiem, ograniczniki przepięć zlokalizowane bezpośrednio przy głowicach kabli 110kV,</w:t>
      </w:r>
    </w:p>
    <w:p w14:paraId="5C8D5B08" w14:textId="77777777" w:rsidR="00271919" w:rsidRPr="00DF779F" w:rsidRDefault="00271919"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DF779F">
        <w:rPr>
          <w:rFonts w:asciiTheme="minorHAnsi" w:hAnsiTheme="minorHAnsi" w:cstheme="minorHAnsi"/>
          <w:snapToGrid w:val="0"/>
          <w:sz w:val="22"/>
          <w:szCs w:val="22"/>
        </w:rPr>
        <w:t>pole sprzęgła wyposażone w podłużne i poprzeczne odłączniki szynowe z uziemnikami, wyłącznik, przekładniki prądowe i napięciowe,</w:t>
      </w:r>
    </w:p>
    <w:p w14:paraId="35EA2A95" w14:textId="77777777" w:rsidR="00271919" w:rsidRPr="00DF779F" w:rsidRDefault="00271919"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DF779F">
        <w:rPr>
          <w:rFonts w:asciiTheme="minorHAnsi" w:hAnsiTheme="minorHAnsi" w:cstheme="minorHAnsi"/>
          <w:snapToGrid w:val="0"/>
          <w:sz w:val="22"/>
          <w:szCs w:val="22"/>
        </w:rPr>
        <w:t xml:space="preserve">pola pomiaru napięcia sekcji wyposażone w przekładniki napięciowe każdej z </w:t>
      </w:r>
      <w:proofErr w:type="spellStart"/>
      <w:r w:rsidRPr="00DF779F">
        <w:rPr>
          <w:rFonts w:asciiTheme="minorHAnsi" w:hAnsiTheme="minorHAnsi" w:cstheme="minorHAnsi"/>
          <w:snapToGrid w:val="0"/>
          <w:sz w:val="22"/>
          <w:szCs w:val="22"/>
        </w:rPr>
        <w:t>półsekcji</w:t>
      </w:r>
      <w:proofErr w:type="spellEnd"/>
      <w:r w:rsidRPr="00DF779F">
        <w:rPr>
          <w:rFonts w:asciiTheme="minorHAnsi" w:hAnsiTheme="minorHAnsi" w:cstheme="minorHAnsi"/>
          <w:snapToGrid w:val="0"/>
          <w:sz w:val="22"/>
          <w:szCs w:val="22"/>
        </w:rPr>
        <w:t>,</w:t>
      </w:r>
    </w:p>
    <w:p w14:paraId="248A96B2" w14:textId="77777777" w:rsidR="00882D55" w:rsidRPr="00882D55" w:rsidRDefault="00882D55" w:rsidP="00B628F4">
      <w:pPr>
        <w:widowControl w:val="0"/>
        <w:numPr>
          <w:ilvl w:val="0"/>
          <w:numId w:val="26"/>
        </w:numPr>
        <w:autoSpaceDE w:val="0"/>
        <w:autoSpaceDN w:val="0"/>
        <w:adjustRightInd w:val="0"/>
        <w:spacing w:before="0" w:after="0"/>
        <w:ind w:left="1417" w:hanging="340"/>
        <w:jc w:val="left"/>
        <w:rPr>
          <w:rFonts w:ascii="Calibri" w:hAnsi="Calibri" w:cs="Calibri"/>
          <w:sz w:val="22"/>
          <w:szCs w:val="22"/>
        </w:rPr>
      </w:pPr>
      <w:r w:rsidRPr="00882D55">
        <w:rPr>
          <w:rFonts w:ascii="Calibri" w:hAnsi="Calibri" w:cs="Calibri"/>
          <w:sz w:val="22"/>
          <w:szCs w:val="22"/>
        </w:rPr>
        <w:t xml:space="preserve">Aparatura pól 110 </w:t>
      </w:r>
      <w:proofErr w:type="spellStart"/>
      <w:r w:rsidRPr="00882D55">
        <w:rPr>
          <w:rFonts w:ascii="Calibri" w:hAnsi="Calibri" w:cs="Calibri"/>
          <w:sz w:val="22"/>
          <w:szCs w:val="22"/>
        </w:rPr>
        <w:t>kV</w:t>
      </w:r>
      <w:proofErr w:type="spellEnd"/>
      <w:r w:rsidRPr="00882D55">
        <w:rPr>
          <w:rFonts w:ascii="Calibri" w:hAnsi="Calibri" w:cs="Calibri"/>
          <w:sz w:val="22"/>
          <w:szCs w:val="22"/>
        </w:rPr>
        <w:t xml:space="preserve"> ma posiadać nie gorsze parametry niż podane poniżej:</w:t>
      </w:r>
    </w:p>
    <w:p w14:paraId="73C3FD3B" w14:textId="77777777" w:rsidR="00882D55" w:rsidRPr="00882D55" w:rsidRDefault="00882D55" w:rsidP="00B628F4">
      <w:pPr>
        <w:widowControl w:val="0"/>
        <w:numPr>
          <w:ilvl w:val="0"/>
          <w:numId w:val="27"/>
        </w:numPr>
        <w:autoSpaceDE w:val="0"/>
        <w:autoSpaceDN w:val="0"/>
        <w:adjustRightInd w:val="0"/>
        <w:spacing w:before="0" w:after="0"/>
        <w:ind w:left="1701" w:hanging="340"/>
        <w:contextualSpacing/>
        <w:jc w:val="left"/>
        <w:textAlignment w:val="baseline"/>
        <w:rPr>
          <w:rFonts w:ascii="Calibri" w:hAnsi="Calibri" w:cs="Calibri"/>
          <w:snapToGrid w:val="0"/>
          <w:sz w:val="22"/>
        </w:rPr>
      </w:pPr>
      <w:r w:rsidRPr="00882D55">
        <w:rPr>
          <w:rFonts w:ascii="Calibri" w:hAnsi="Calibri" w:cs="Calibri"/>
          <w:snapToGrid w:val="0"/>
          <w:sz w:val="22"/>
          <w:szCs w:val="24"/>
        </w:rPr>
        <w:t xml:space="preserve">napięcie znamionowe </w:t>
      </w:r>
      <w:r w:rsidRPr="00882D55">
        <w:rPr>
          <w:rFonts w:ascii="Calibri" w:hAnsi="Calibri" w:cs="Calibri"/>
          <w:snapToGrid w:val="0"/>
          <w:sz w:val="22"/>
          <w:szCs w:val="24"/>
        </w:rPr>
        <w:tab/>
      </w:r>
      <w:r w:rsidRPr="00882D55">
        <w:rPr>
          <w:snapToGrid w:val="0"/>
          <w:sz w:val="24"/>
          <w:szCs w:val="24"/>
        </w:rPr>
        <w:sym w:font="Symbol" w:char="F0B3"/>
      </w:r>
      <w:r w:rsidRPr="00882D55">
        <w:rPr>
          <w:rFonts w:ascii="Calibri" w:hAnsi="Calibri" w:cs="Calibri"/>
          <w:snapToGrid w:val="0"/>
          <w:sz w:val="22"/>
          <w:szCs w:val="24"/>
        </w:rPr>
        <w:t xml:space="preserve"> 123 </w:t>
      </w:r>
      <w:proofErr w:type="spellStart"/>
      <w:r w:rsidRPr="00882D55">
        <w:rPr>
          <w:rFonts w:ascii="Calibri" w:hAnsi="Calibri" w:cs="Calibri"/>
          <w:snapToGrid w:val="0"/>
          <w:sz w:val="22"/>
          <w:szCs w:val="24"/>
        </w:rPr>
        <w:t>kV</w:t>
      </w:r>
      <w:proofErr w:type="spellEnd"/>
      <w:r w:rsidRPr="00882D55">
        <w:rPr>
          <w:rFonts w:ascii="Calibri" w:hAnsi="Calibri" w:cs="Calibri"/>
          <w:snapToGrid w:val="0"/>
          <w:sz w:val="22"/>
          <w:szCs w:val="24"/>
        </w:rPr>
        <w:t>,</w:t>
      </w:r>
    </w:p>
    <w:p w14:paraId="40D6C714" w14:textId="77777777" w:rsidR="00882D55" w:rsidRPr="00882D55" w:rsidRDefault="00882D55" w:rsidP="00B628F4">
      <w:pPr>
        <w:widowControl w:val="0"/>
        <w:numPr>
          <w:ilvl w:val="0"/>
          <w:numId w:val="27"/>
        </w:numPr>
        <w:autoSpaceDE w:val="0"/>
        <w:autoSpaceDN w:val="0"/>
        <w:adjustRightInd w:val="0"/>
        <w:spacing w:before="0" w:after="0"/>
        <w:ind w:left="1701" w:hanging="340"/>
        <w:contextualSpacing/>
        <w:jc w:val="left"/>
        <w:textAlignment w:val="baseline"/>
        <w:rPr>
          <w:rFonts w:ascii="Calibri" w:hAnsi="Calibri" w:cs="Calibri"/>
          <w:snapToGrid w:val="0"/>
          <w:sz w:val="22"/>
          <w:szCs w:val="24"/>
        </w:rPr>
      </w:pPr>
      <w:r w:rsidRPr="00882D55">
        <w:rPr>
          <w:rFonts w:ascii="Calibri" w:hAnsi="Calibri" w:cs="Calibri"/>
          <w:snapToGrid w:val="0"/>
          <w:sz w:val="22"/>
          <w:szCs w:val="24"/>
        </w:rPr>
        <w:t>najwyższe napięcie probiercze 1-min wytrzymywane o częstotliwości sieciowej (wartość skuteczna):</w:t>
      </w:r>
    </w:p>
    <w:p w14:paraId="0AA033D8" w14:textId="77777777" w:rsidR="00882D55" w:rsidRPr="00882D55" w:rsidRDefault="00882D55" w:rsidP="00B628F4">
      <w:pPr>
        <w:widowControl w:val="0"/>
        <w:numPr>
          <w:ilvl w:val="0"/>
          <w:numId w:val="28"/>
        </w:numPr>
        <w:tabs>
          <w:tab w:val="left" w:pos="720"/>
        </w:tabs>
        <w:autoSpaceDE w:val="0"/>
        <w:autoSpaceDN w:val="0"/>
        <w:adjustRightInd w:val="0"/>
        <w:spacing w:before="0" w:after="0"/>
        <w:ind w:left="1843"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do ziemi, między biegunami i przerwy biegunowej otwartych łączników  ≥ 230 </w:t>
      </w:r>
      <w:proofErr w:type="spellStart"/>
      <w:r w:rsidRPr="00882D55">
        <w:rPr>
          <w:rFonts w:ascii="Calibri" w:hAnsi="Calibri" w:cs="Calibri"/>
          <w:snapToGrid w:val="0"/>
          <w:sz w:val="22"/>
          <w:szCs w:val="24"/>
        </w:rPr>
        <w:t>kV</w:t>
      </w:r>
      <w:proofErr w:type="spellEnd"/>
      <w:r w:rsidRPr="00882D55">
        <w:rPr>
          <w:rFonts w:ascii="Calibri" w:hAnsi="Calibri" w:cs="Calibri"/>
          <w:snapToGrid w:val="0"/>
          <w:sz w:val="22"/>
          <w:szCs w:val="24"/>
        </w:rPr>
        <w:t>,</w:t>
      </w:r>
    </w:p>
    <w:p w14:paraId="3EF19653" w14:textId="77777777" w:rsidR="00882D55" w:rsidRPr="00882D55" w:rsidRDefault="00882D55" w:rsidP="00B628F4">
      <w:pPr>
        <w:widowControl w:val="0"/>
        <w:numPr>
          <w:ilvl w:val="0"/>
          <w:numId w:val="28"/>
        </w:numPr>
        <w:tabs>
          <w:tab w:val="left" w:pos="720"/>
        </w:tabs>
        <w:autoSpaceDE w:val="0"/>
        <w:autoSpaceDN w:val="0"/>
        <w:adjustRightInd w:val="0"/>
        <w:spacing w:before="0" w:after="0"/>
        <w:ind w:left="1843"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przerwy biegunowej bezpiecznej ≥ 265 </w:t>
      </w:r>
      <w:proofErr w:type="spellStart"/>
      <w:r w:rsidRPr="00882D55">
        <w:rPr>
          <w:rFonts w:ascii="Calibri" w:hAnsi="Calibri" w:cs="Calibri"/>
          <w:snapToGrid w:val="0"/>
          <w:sz w:val="22"/>
          <w:szCs w:val="24"/>
        </w:rPr>
        <w:t>kV</w:t>
      </w:r>
      <w:proofErr w:type="spellEnd"/>
      <w:r w:rsidRPr="00882D55">
        <w:rPr>
          <w:rFonts w:ascii="Calibri" w:hAnsi="Calibri" w:cs="Calibri"/>
          <w:snapToGrid w:val="0"/>
          <w:sz w:val="22"/>
          <w:szCs w:val="24"/>
        </w:rPr>
        <w:t>,</w:t>
      </w:r>
    </w:p>
    <w:p w14:paraId="5520B21D"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textAlignment w:val="baseline"/>
        <w:rPr>
          <w:rFonts w:ascii="Calibri" w:hAnsi="Calibri" w:cs="Calibri"/>
          <w:snapToGrid w:val="0"/>
          <w:sz w:val="22"/>
          <w:szCs w:val="24"/>
        </w:rPr>
      </w:pPr>
      <w:r w:rsidRPr="00882D55">
        <w:rPr>
          <w:rFonts w:ascii="Calibri" w:hAnsi="Calibri" w:cs="Calibri"/>
          <w:snapToGrid w:val="0"/>
          <w:sz w:val="22"/>
          <w:szCs w:val="24"/>
        </w:rPr>
        <w:t>napięcie probiercze udarowe piorunowe wytrzymywane (wartość skuteczna):</w:t>
      </w:r>
    </w:p>
    <w:p w14:paraId="625DD2B5" w14:textId="77777777" w:rsidR="00882D55" w:rsidRPr="00882D55" w:rsidRDefault="00882D55" w:rsidP="00B628F4">
      <w:pPr>
        <w:widowControl w:val="0"/>
        <w:numPr>
          <w:ilvl w:val="0"/>
          <w:numId w:val="29"/>
        </w:numPr>
        <w:tabs>
          <w:tab w:val="left" w:pos="720"/>
        </w:tabs>
        <w:autoSpaceDE w:val="0"/>
        <w:autoSpaceDN w:val="0"/>
        <w:adjustRightInd w:val="0"/>
        <w:spacing w:before="0" w:after="0"/>
        <w:ind w:left="1843"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do ziemi, między biegunami i przerwy biegunowej otwartych łączników ≥ 550 </w:t>
      </w:r>
      <w:proofErr w:type="spellStart"/>
      <w:r w:rsidRPr="00882D55">
        <w:rPr>
          <w:rFonts w:ascii="Calibri" w:hAnsi="Calibri" w:cs="Calibri"/>
          <w:snapToGrid w:val="0"/>
          <w:sz w:val="22"/>
          <w:szCs w:val="24"/>
        </w:rPr>
        <w:t>kV</w:t>
      </w:r>
      <w:proofErr w:type="spellEnd"/>
      <w:r w:rsidRPr="00882D55">
        <w:rPr>
          <w:rFonts w:ascii="Calibri" w:hAnsi="Calibri" w:cs="Calibri"/>
          <w:snapToGrid w:val="0"/>
          <w:sz w:val="22"/>
          <w:szCs w:val="24"/>
        </w:rPr>
        <w:t>,</w:t>
      </w:r>
    </w:p>
    <w:p w14:paraId="4469513B" w14:textId="77777777" w:rsidR="00882D55" w:rsidRPr="00882D55" w:rsidRDefault="00882D55" w:rsidP="00B628F4">
      <w:pPr>
        <w:widowControl w:val="0"/>
        <w:numPr>
          <w:ilvl w:val="0"/>
          <w:numId w:val="29"/>
        </w:numPr>
        <w:tabs>
          <w:tab w:val="left" w:pos="720"/>
        </w:tabs>
        <w:autoSpaceDE w:val="0"/>
        <w:autoSpaceDN w:val="0"/>
        <w:adjustRightInd w:val="0"/>
        <w:spacing w:before="0" w:after="0"/>
        <w:ind w:left="1843"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przerwy biegunowej bezpiecznej  ≥ 630 </w:t>
      </w:r>
      <w:proofErr w:type="spellStart"/>
      <w:r w:rsidRPr="00882D55">
        <w:rPr>
          <w:rFonts w:ascii="Calibri" w:hAnsi="Calibri" w:cs="Calibri"/>
          <w:snapToGrid w:val="0"/>
          <w:sz w:val="22"/>
          <w:szCs w:val="24"/>
        </w:rPr>
        <w:t>kV</w:t>
      </w:r>
      <w:proofErr w:type="spellEnd"/>
      <w:r w:rsidRPr="00882D55">
        <w:rPr>
          <w:rFonts w:ascii="Calibri" w:hAnsi="Calibri" w:cs="Calibri"/>
          <w:snapToGrid w:val="0"/>
          <w:sz w:val="22"/>
          <w:szCs w:val="24"/>
        </w:rPr>
        <w:t>,</w:t>
      </w:r>
    </w:p>
    <w:p w14:paraId="175E185B"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częstotliwość znamionowa </w:t>
      </w:r>
      <w:r w:rsidRPr="00882D55">
        <w:rPr>
          <w:rFonts w:ascii="Calibri" w:hAnsi="Calibri" w:cs="Calibri"/>
          <w:snapToGrid w:val="0"/>
          <w:sz w:val="22"/>
          <w:szCs w:val="24"/>
        </w:rPr>
        <w:tab/>
        <w:t xml:space="preserve">50 </w:t>
      </w:r>
      <w:proofErr w:type="spellStart"/>
      <w:r w:rsidRPr="00882D55">
        <w:rPr>
          <w:rFonts w:ascii="Calibri" w:hAnsi="Calibri" w:cs="Calibri"/>
          <w:snapToGrid w:val="0"/>
          <w:sz w:val="22"/>
          <w:szCs w:val="24"/>
        </w:rPr>
        <w:t>Hz</w:t>
      </w:r>
      <w:proofErr w:type="spellEnd"/>
      <w:r w:rsidRPr="00882D55">
        <w:rPr>
          <w:rFonts w:ascii="Calibri" w:hAnsi="Calibri" w:cs="Calibri"/>
          <w:snapToGrid w:val="0"/>
          <w:sz w:val="22"/>
          <w:szCs w:val="24"/>
        </w:rPr>
        <w:t>,</w:t>
      </w:r>
    </w:p>
    <w:p w14:paraId="0FD91F52"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textAlignment w:val="baseline"/>
        <w:rPr>
          <w:rFonts w:ascii="Calibri" w:hAnsi="Calibri" w:cs="Calibri"/>
          <w:snapToGrid w:val="0"/>
          <w:sz w:val="22"/>
          <w:szCs w:val="24"/>
        </w:rPr>
      </w:pPr>
      <w:r w:rsidRPr="00882D55">
        <w:rPr>
          <w:rFonts w:ascii="Calibri" w:hAnsi="Calibri" w:cs="Calibri"/>
          <w:snapToGrid w:val="0"/>
          <w:sz w:val="22"/>
          <w:szCs w:val="24"/>
        </w:rPr>
        <w:t>prąd znamionowy ciągły ≥ 3150 A,</w:t>
      </w:r>
    </w:p>
    <w:p w14:paraId="1793527A"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prąd znamionowy jednosekundowy </w:t>
      </w:r>
      <w:r w:rsidRPr="00882D55">
        <w:rPr>
          <w:rFonts w:ascii="Calibri" w:hAnsi="Calibri" w:cs="Calibri"/>
          <w:snapToGrid w:val="0"/>
          <w:sz w:val="22"/>
          <w:szCs w:val="24"/>
        </w:rPr>
        <w:tab/>
        <w:t xml:space="preserve">≥ 40 </w:t>
      </w:r>
      <w:proofErr w:type="spellStart"/>
      <w:r w:rsidRPr="00882D55">
        <w:rPr>
          <w:rFonts w:ascii="Calibri" w:hAnsi="Calibri" w:cs="Calibri"/>
          <w:snapToGrid w:val="0"/>
          <w:sz w:val="22"/>
          <w:szCs w:val="24"/>
        </w:rPr>
        <w:t>kA</w:t>
      </w:r>
      <w:proofErr w:type="spellEnd"/>
      <w:r w:rsidRPr="00882D55">
        <w:rPr>
          <w:rFonts w:ascii="Calibri" w:hAnsi="Calibri" w:cs="Calibri"/>
          <w:snapToGrid w:val="0"/>
          <w:sz w:val="22"/>
          <w:szCs w:val="24"/>
        </w:rPr>
        <w:t>,</w:t>
      </w:r>
    </w:p>
    <w:p w14:paraId="09CFC2F4"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textAlignment w:val="baseline"/>
        <w:rPr>
          <w:rFonts w:ascii="Calibri" w:hAnsi="Calibri" w:cs="Calibri"/>
          <w:snapToGrid w:val="0"/>
          <w:sz w:val="22"/>
          <w:szCs w:val="24"/>
        </w:rPr>
      </w:pPr>
      <w:r w:rsidRPr="00882D55">
        <w:rPr>
          <w:rFonts w:ascii="Calibri" w:hAnsi="Calibri" w:cs="Calibri"/>
          <w:snapToGrid w:val="0"/>
          <w:sz w:val="22"/>
          <w:szCs w:val="24"/>
        </w:rPr>
        <w:t xml:space="preserve">prąd znamionowy szczytowy wytrzymywany 100 </w:t>
      </w:r>
      <w:proofErr w:type="spellStart"/>
      <w:r w:rsidRPr="00882D55">
        <w:rPr>
          <w:rFonts w:ascii="Calibri" w:hAnsi="Calibri" w:cs="Calibri"/>
          <w:snapToGrid w:val="0"/>
          <w:sz w:val="22"/>
          <w:szCs w:val="24"/>
        </w:rPr>
        <w:t>kA</w:t>
      </w:r>
      <w:proofErr w:type="spellEnd"/>
      <w:r w:rsidRPr="00882D55">
        <w:rPr>
          <w:rFonts w:ascii="Calibri" w:hAnsi="Calibri" w:cs="Calibri"/>
          <w:snapToGrid w:val="0"/>
          <w:sz w:val="22"/>
          <w:szCs w:val="24"/>
        </w:rPr>
        <w:t>,</w:t>
      </w:r>
    </w:p>
    <w:p w14:paraId="0276B9B3" w14:textId="77777777" w:rsidR="00882D55" w:rsidRPr="00882D55" w:rsidRDefault="00882D55" w:rsidP="00B628F4">
      <w:pPr>
        <w:widowControl w:val="0"/>
        <w:numPr>
          <w:ilvl w:val="0"/>
          <w:numId w:val="25"/>
        </w:numPr>
        <w:autoSpaceDE w:val="0"/>
        <w:autoSpaceDN w:val="0"/>
        <w:adjustRightInd w:val="0"/>
        <w:spacing w:before="0" w:after="0"/>
        <w:ind w:left="1701" w:hanging="340"/>
        <w:jc w:val="left"/>
        <w:rPr>
          <w:rFonts w:ascii="Calibri" w:hAnsi="Calibri"/>
          <w:sz w:val="22"/>
          <w:szCs w:val="24"/>
        </w:rPr>
      </w:pPr>
      <w:r w:rsidRPr="00882D55">
        <w:rPr>
          <w:rFonts w:ascii="Calibri" w:hAnsi="Calibri"/>
          <w:sz w:val="22"/>
          <w:szCs w:val="24"/>
        </w:rPr>
        <w:t>czas znamionowy trwania zwarcia 1 s.</w:t>
      </w:r>
    </w:p>
    <w:p w14:paraId="1FBEBE34" w14:textId="77777777" w:rsidR="00882D55" w:rsidRPr="00271919" w:rsidRDefault="00882D55"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271919">
        <w:rPr>
          <w:rFonts w:asciiTheme="minorHAnsi" w:hAnsiTheme="minorHAnsi" w:cstheme="minorHAnsi"/>
          <w:snapToGrid w:val="0"/>
          <w:sz w:val="22"/>
          <w:szCs w:val="22"/>
        </w:rPr>
        <w:t xml:space="preserve">Udział elementów aparatury pól 110 </w:t>
      </w:r>
      <w:proofErr w:type="spellStart"/>
      <w:r w:rsidRPr="00271919">
        <w:rPr>
          <w:rFonts w:asciiTheme="minorHAnsi" w:hAnsiTheme="minorHAnsi" w:cstheme="minorHAnsi"/>
          <w:snapToGrid w:val="0"/>
          <w:sz w:val="22"/>
          <w:szCs w:val="22"/>
        </w:rPr>
        <w:t>kV</w:t>
      </w:r>
      <w:proofErr w:type="spellEnd"/>
      <w:r w:rsidRPr="00271919">
        <w:rPr>
          <w:rFonts w:asciiTheme="minorHAnsi" w:hAnsiTheme="minorHAnsi" w:cstheme="minorHAnsi"/>
          <w:snapToGrid w:val="0"/>
          <w:sz w:val="22"/>
          <w:szCs w:val="22"/>
        </w:rPr>
        <w:t>, pochodzących z państw członkowskich Unii Europejskiej lub państw, z którymi Wspólnota Europejska zawarła umowy o równym traktowaniu przedsiębiorców, na poziomie nie niższym niż 50 %</w:t>
      </w:r>
    </w:p>
    <w:p w14:paraId="739390E1" w14:textId="77777777" w:rsidR="00882D55" w:rsidRPr="00271919" w:rsidRDefault="00882D55"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271919">
        <w:rPr>
          <w:rFonts w:asciiTheme="minorHAnsi" w:hAnsiTheme="minorHAnsi" w:cstheme="minorHAnsi"/>
          <w:snapToGrid w:val="0"/>
          <w:sz w:val="22"/>
          <w:szCs w:val="22"/>
        </w:rPr>
        <w:t xml:space="preserve">Zakresy i warunki zabiegów eksploatacyjnych i przeglądów powinny być określone wymaganiami w instrukcji obsługi. Poza czynnościami określonymi w instrukcji obsługi nie powinny być wymagane żadne czynności dotyczące obsługi aparatury pola 110kV. </w:t>
      </w:r>
    </w:p>
    <w:p w14:paraId="11220C51" w14:textId="36AB5667" w:rsidR="00882D55" w:rsidRPr="00271919" w:rsidRDefault="00882D55" w:rsidP="00B628F4">
      <w:pPr>
        <w:widowControl w:val="0"/>
        <w:numPr>
          <w:ilvl w:val="0"/>
          <w:numId w:val="43"/>
        </w:numPr>
        <w:autoSpaceDE w:val="0"/>
        <w:autoSpaceDN w:val="0"/>
        <w:adjustRightInd w:val="0"/>
        <w:spacing w:before="0" w:after="0"/>
        <w:contextualSpacing/>
        <w:textAlignment w:val="baseline"/>
        <w:rPr>
          <w:rFonts w:asciiTheme="minorHAnsi" w:hAnsiTheme="minorHAnsi" w:cstheme="minorHAnsi"/>
          <w:snapToGrid w:val="0"/>
          <w:sz w:val="22"/>
          <w:szCs w:val="22"/>
        </w:rPr>
      </w:pPr>
      <w:r w:rsidRPr="00271919">
        <w:rPr>
          <w:rFonts w:asciiTheme="minorHAnsi" w:hAnsiTheme="minorHAnsi" w:cstheme="minorHAnsi"/>
          <w:snapToGrid w:val="0"/>
          <w:sz w:val="22"/>
          <w:szCs w:val="22"/>
        </w:rPr>
        <w:t>Wszystkie elementy metalowe powinny być zabezpieczone antykorozyjnie lub odporne na korozję poprzez wykonanie z metali nie ulegających korozji lub ze stali zabezpieczonej przez cynkowanie ogniowe powłoką o grubości zgodnie z normą PN-EN ISO 1461:2011 Powłoki cynkowe nanoszone na wyroby stalowe i żeliwne metodą zanurzeniową.</w:t>
      </w:r>
    </w:p>
    <w:p w14:paraId="661E84C8" w14:textId="77777777" w:rsidR="00882D55" w:rsidRPr="00882D55" w:rsidRDefault="00882D55" w:rsidP="00941EC8">
      <w:pPr>
        <w:widowControl w:val="0"/>
        <w:autoSpaceDE w:val="0"/>
        <w:autoSpaceDN w:val="0"/>
        <w:adjustRightInd w:val="0"/>
        <w:spacing w:before="0" w:after="0"/>
        <w:ind w:left="680" w:firstLine="0"/>
        <w:jc w:val="left"/>
        <w:rPr>
          <w:rFonts w:ascii="Calibri" w:hAnsi="Calibri" w:cs="Calibri"/>
          <w:sz w:val="22"/>
          <w:szCs w:val="22"/>
        </w:rPr>
      </w:pPr>
    </w:p>
    <w:p w14:paraId="19823BB3" w14:textId="77777777" w:rsidR="00882D55" w:rsidRPr="00882D55" w:rsidRDefault="00882D55" w:rsidP="00882D55">
      <w:pPr>
        <w:pStyle w:val="Nagwek2"/>
      </w:pPr>
      <w:bookmarkStart w:id="66" w:name="_Toc198028121"/>
      <w:bookmarkStart w:id="67" w:name="_Toc216678517"/>
      <w:r w:rsidRPr="00882D55">
        <w:t>Nastawnia</w:t>
      </w:r>
      <w:bookmarkEnd w:id="66"/>
      <w:bookmarkEnd w:id="67"/>
    </w:p>
    <w:p w14:paraId="1569C073" w14:textId="021E116A" w:rsidR="00974B2C" w:rsidRPr="00974B2C" w:rsidRDefault="00271919" w:rsidP="00941EC8">
      <w:pPr>
        <w:widowControl w:val="0"/>
        <w:autoSpaceDE w:val="0"/>
        <w:autoSpaceDN w:val="0"/>
        <w:adjustRightInd w:val="0"/>
        <w:spacing w:before="0" w:after="0" w:line="276" w:lineRule="auto"/>
        <w:ind w:left="0" w:firstLine="340"/>
        <w:jc w:val="left"/>
        <w:rPr>
          <w:rFonts w:ascii="Calibri" w:hAnsi="Calibri"/>
          <w:snapToGrid w:val="0"/>
          <w:sz w:val="22"/>
          <w:szCs w:val="22"/>
        </w:rPr>
      </w:pPr>
      <w:r w:rsidRPr="00271919">
        <w:rPr>
          <w:rFonts w:ascii="Calibri" w:hAnsi="Calibri"/>
          <w:snapToGrid w:val="0"/>
          <w:sz w:val="22"/>
          <w:szCs w:val="22"/>
        </w:rPr>
        <w:t xml:space="preserve">Projektowaną aparaturę zabezpieczeniową i sterowniczą 110 </w:t>
      </w:r>
      <w:proofErr w:type="spellStart"/>
      <w:r w:rsidRPr="00271919">
        <w:rPr>
          <w:rFonts w:ascii="Calibri" w:hAnsi="Calibri"/>
          <w:snapToGrid w:val="0"/>
          <w:sz w:val="22"/>
          <w:szCs w:val="22"/>
        </w:rPr>
        <w:t>kV</w:t>
      </w:r>
      <w:proofErr w:type="spellEnd"/>
      <w:r w:rsidRPr="00271919">
        <w:rPr>
          <w:rFonts w:ascii="Calibri" w:hAnsi="Calibri"/>
          <w:snapToGrid w:val="0"/>
          <w:sz w:val="22"/>
          <w:szCs w:val="22"/>
        </w:rPr>
        <w:t>, rozbudowany systemy nadzoru, sygnalizację centralną, miejsce pod układ ARN dla projektowanych transformatorów mocy, pomiary energii elektrycznej zabudować w szafach. Wykaz aparatury oraz sygnałów wyprowadzonych do systemu nadzoru uzgodnić przy opracowywaniu projektu.</w:t>
      </w:r>
    </w:p>
    <w:p w14:paraId="44B01CA1" w14:textId="77777777" w:rsidR="00974B2C" w:rsidRPr="00974B2C" w:rsidRDefault="00974B2C" w:rsidP="00974B2C">
      <w:pPr>
        <w:pStyle w:val="Nagwek2"/>
      </w:pPr>
      <w:bookmarkStart w:id="68" w:name="_Toc198028122"/>
      <w:bookmarkStart w:id="69" w:name="_Toc216678518"/>
      <w:r w:rsidRPr="00974B2C">
        <w:t>Zabezpieczenia i automatyki</w:t>
      </w:r>
      <w:bookmarkEnd w:id="68"/>
      <w:bookmarkEnd w:id="69"/>
      <w:r w:rsidRPr="00974B2C">
        <w:t xml:space="preserve"> </w:t>
      </w:r>
    </w:p>
    <w:p w14:paraId="2DAA587A" w14:textId="77777777" w:rsidR="00271919" w:rsidRPr="00FD724B" w:rsidRDefault="00271919" w:rsidP="00271919">
      <w:pPr>
        <w:widowControl w:val="0"/>
        <w:autoSpaceDE w:val="0"/>
        <w:autoSpaceDN w:val="0"/>
        <w:adjustRightInd w:val="0"/>
        <w:spacing w:before="0" w:after="0"/>
        <w:ind w:left="0" w:firstLine="0"/>
        <w:rPr>
          <w:rFonts w:asciiTheme="minorHAnsi" w:hAnsiTheme="minorHAnsi" w:cstheme="minorHAnsi"/>
          <w:b/>
          <w:bCs/>
          <w:i/>
          <w:iCs/>
          <w:snapToGrid w:val="0"/>
          <w:sz w:val="22"/>
          <w:szCs w:val="22"/>
          <w:u w:val="single"/>
        </w:rPr>
      </w:pPr>
      <w:bookmarkStart w:id="70" w:name="_Toc399845203"/>
      <w:bookmarkStart w:id="71" w:name="_Toc399850605"/>
      <w:bookmarkStart w:id="72" w:name="_Toc406740020"/>
      <w:bookmarkStart w:id="73" w:name="_Toc406740688"/>
      <w:bookmarkStart w:id="74" w:name="_Toc417565902"/>
      <w:bookmarkStart w:id="75" w:name="_Toc418676963"/>
      <w:bookmarkStart w:id="76" w:name="_Toc309320532"/>
      <w:bookmarkStart w:id="77" w:name="_Toc312846255"/>
      <w:r w:rsidRPr="00FD724B">
        <w:rPr>
          <w:rFonts w:asciiTheme="minorHAnsi" w:hAnsiTheme="minorHAnsi" w:cstheme="minorHAnsi"/>
          <w:b/>
          <w:bCs/>
          <w:i/>
          <w:iCs/>
          <w:snapToGrid w:val="0"/>
          <w:sz w:val="22"/>
          <w:szCs w:val="22"/>
          <w:u w:val="single"/>
        </w:rPr>
        <w:t>WYMAGANIA TECHNICZNE DLA OBWODÓW WTÓRNYCH ROZDZIELNI 110 </w:t>
      </w:r>
      <w:proofErr w:type="spellStart"/>
      <w:r>
        <w:rPr>
          <w:rFonts w:asciiTheme="minorHAnsi" w:hAnsiTheme="minorHAnsi" w:cstheme="minorHAnsi"/>
          <w:b/>
          <w:bCs/>
          <w:i/>
          <w:iCs/>
          <w:snapToGrid w:val="0"/>
          <w:sz w:val="22"/>
          <w:szCs w:val="22"/>
          <w:u w:val="single"/>
        </w:rPr>
        <w:t>k</w:t>
      </w:r>
      <w:r w:rsidRPr="00FD724B">
        <w:rPr>
          <w:rFonts w:asciiTheme="minorHAnsi" w:hAnsiTheme="minorHAnsi" w:cstheme="minorHAnsi"/>
          <w:b/>
          <w:bCs/>
          <w:i/>
          <w:iCs/>
          <w:snapToGrid w:val="0"/>
          <w:sz w:val="22"/>
          <w:szCs w:val="22"/>
          <w:u w:val="single"/>
        </w:rPr>
        <w:t>V</w:t>
      </w:r>
      <w:proofErr w:type="spellEnd"/>
      <w:r w:rsidRPr="00FD724B">
        <w:rPr>
          <w:rFonts w:asciiTheme="minorHAnsi" w:hAnsiTheme="minorHAnsi" w:cstheme="minorHAnsi"/>
          <w:b/>
          <w:bCs/>
          <w:i/>
          <w:iCs/>
          <w:snapToGrid w:val="0"/>
          <w:sz w:val="22"/>
          <w:szCs w:val="22"/>
          <w:u w:val="single"/>
        </w:rPr>
        <w:t>:</w:t>
      </w:r>
    </w:p>
    <w:p w14:paraId="7B11179C"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sidRPr="00FD724B">
        <w:rPr>
          <w:rFonts w:asciiTheme="minorHAnsi" w:hAnsiTheme="minorHAnsi" w:cstheme="minorHAnsi"/>
          <w:b/>
          <w:bCs/>
          <w:i/>
          <w:iCs/>
          <w:snapToGrid w:val="0"/>
          <w:sz w:val="22"/>
          <w:szCs w:val="22"/>
          <w:u w:val="single"/>
        </w:rPr>
        <w:t>Wymagania ogólne</w:t>
      </w:r>
      <w:bookmarkEnd w:id="70"/>
      <w:bookmarkEnd w:id="71"/>
      <w:bookmarkEnd w:id="72"/>
      <w:bookmarkEnd w:id="73"/>
      <w:bookmarkEnd w:id="74"/>
      <w:bookmarkEnd w:id="75"/>
      <w:r w:rsidRPr="00FD724B">
        <w:rPr>
          <w:rFonts w:asciiTheme="minorHAnsi" w:hAnsiTheme="minorHAnsi" w:cstheme="minorHAnsi"/>
          <w:b/>
          <w:bCs/>
          <w:i/>
          <w:iCs/>
          <w:snapToGrid w:val="0"/>
          <w:sz w:val="22"/>
          <w:szCs w:val="22"/>
          <w:u w:val="single"/>
        </w:rPr>
        <w:t xml:space="preserve"> </w:t>
      </w:r>
    </w:p>
    <w:bookmarkEnd w:id="76"/>
    <w:bookmarkEnd w:id="77"/>
    <w:p w14:paraId="59C3ACF6"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lastRenderedPageBreak/>
        <w:t>Zabezpieczenia powinny być zrealizowane w wersji szafowej, należy zastosować listwy zaciskowe sprężynowe przystosowane do włączenia przewodów o stopień wyższych niż projektowane (np. dla przewodu 2,5 mm</w:t>
      </w:r>
      <w:r w:rsidRPr="00DF779F">
        <w:rPr>
          <w:rFonts w:asciiTheme="minorHAnsi" w:hAnsiTheme="minorHAnsi" w:cstheme="minorHAnsi"/>
          <w:sz w:val="22"/>
          <w:vertAlign w:val="superscript"/>
        </w:rPr>
        <w:t>2</w:t>
      </w:r>
      <w:r w:rsidRPr="00DF779F">
        <w:rPr>
          <w:rFonts w:asciiTheme="minorHAnsi" w:hAnsiTheme="minorHAnsi" w:cstheme="minorHAnsi"/>
          <w:sz w:val="22"/>
        </w:rPr>
        <w:t xml:space="preserve"> zastosować złączkę 4 mm</w:t>
      </w:r>
      <w:r w:rsidRPr="00DF779F">
        <w:rPr>
          <w:rFonts w:asciiTheme="minorHAnsi" w:hAnsiTheme="minorHAnsi" w:cstheme="minorHAnsi"/>
          <w:sz w:val="22"/>
          <w:vertAlign w:val="superscript"/>
        </w:rPr>
        <w:t>2</w:t>
      </w:r>
      <w:r w:rsidRPr="00DF779F">
        <w:rPr>
          <w:rFonts w:asciiTheme="minorHAnsi" w:hAnsiTheme="minorHAnsi" w:cstheme="minorHAnsi"/>
          <w:sz w:val="22"/>
        </w:rPr>
        <w:t xml:space="preserve">), przewody linkowe muszą być </w:t>
      </w:r>
      <w:proofErr w:type="spellStart"/>
      <w:r w:rsidRPr="00DF779F">
        <w:rPr>
          <w:rFonts w:asciiTheme="minorHAnsi" w:hAnsiTheme="minorHAnsi" w:cstheme="minorHAnsi"/>
          <w:sz w:val="22"/>
        </w:rPr>
        <w:t>tulejkowane</w:t>
      </w:r>
      <w:proofErr w:type="spellEnd"/>
      <w:r w:rsidRPr="00DF779F">
        <w:rPr>
          <w:rFonts w:asciiTheme="minorHAnsi" w:hAnsiTheme="minorHAnsi" w:cstheme="minorHAnsi"/>
          <w:sz w:val="22"/>
        </w:rPr>
        <w:t>;</w:t>
      </w:r>
    </w:p>
    <w:p w14:paraId="42CF4BC8"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Obudowy zabezpieczeń i terminali sterowniczych muszą być przystosowane do montażu w szafie w</w:t>
      </w:r>
      <w:r>
        <w:rPr>
          <w:rFonts w:asciiTheme="minorHAnsi" w:hAnsiTheme="minorHAnsi" w:cstheme="minorHAnsi"/>
          <w:sz w:val="22"/>
        </w:rPr>
        <w:t> </w:t>
      </w:r>
      <w:r w:rsidRPr="00DF779F">
        <w:rPr>
          <w:rFonts w:asciiTheme="minorHAnsi" w:hAnsiTheme="minorHAnsi" w:cstheme="minorHAnsi"/>
          <w:sz w:val="22"/>
        </w:rPr>
        <w:t>systemie 19” oraz zapewniać pełną ochronę od zakłóceń elektromagnetycznych i elektrostatycznych;</w:t>
      </w:r>
    </w:p>
    <w:p w14:paraId="259B1F82"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Zabezpieczenia przekaźnikowe będą urządzeniami zdecentralizowanymi, niezależnymi, w stosunku do całych obwodów wtórnych, a ich działanie w czasie zakłóceń i zwarć w systemie będzie inicjowane sygnałami prądowymi i napięciowymi z przekładników lokalnych pomiarowych. Przekaźniki powinny w</w:t>
      </w:r>
      <w:r>
        <w:rPr>
          <w:rFonts w:asciiTheme="minorHAnsi" w:hAnsiTheme="minorHAnsi" w:cstheme="minorHAnsi"/>
          <w:sz w:val="22"/>
        </w:rPr>
        <w:t> </w:t>
      </w:r>
      <w:r w:rsidRPr="00DF779F">
        <w:rPr>
          <w:rFonts w:asciiTheme="minorHAnsi" w:hAnsiTheme="minorHAnsi" w:cstheme="minorHAnsi"/>
          <w:sz w:val="22"/>
        </w:rPr>
        <w:t xml:space="preserve">sposób pewny i poprawny wykrywać i inicjować izolowanie wszystkich zakłóceń i zwarć w systemie tj. powinny posiadać wysoką pewność </w:t>
      </w:r>
      <w:proofErr w:type="spellStart"/>
      <w:r w:rsidRPr="00DF779F">
        <w:rPr>
          <w:rFonts w:asciiTheme="minorHAnsi" w:hAnsiTheme="minorHAnsi" w:cstheme="minorHAnsi"/>
          <w:sz w:val="22"/>
        </w:rPr>
        <w:t>zadziałań</w:t>
      </w:r>
      <w:proofErr w:type="spellEnd"/>
      <w:r w:rsidRPr="00DF779F">
        <w:rPr>
          <w:rFonts w:asciiTheme="minorHAnsi" w:hAnsiTheme="minorHAnsi" w:cstheme="minorHAnsi"/>
          <w:sz w:val="22"/>
        </w:rPr>
        <w:t xml:space="preserve"> poprawnych z minimalnym ryzykiem </w:t>
      </w:r>
      <w:proofErr w:type="spellStart"/>
      <w:r w:rsidRPr="00DF779F">
        <w:rPr>
          <w:rFonts w:asciiTheme="minorHAnsi" w:hAnsiTheme="minorHAnsi" w:cstheme="minorHAnsi"/>
          <w:sz w:val="22"/>
        </w:rPr>
        <w:t>zadziałań</w:t>
      </w:r>
      <w:proofErr w:type="spellEnd"/>
      <w:r w:rsidRPr="00DF779F">
        <w:rPr>
          <w:rFonts w:asciiTheme="minorHAnsi" w:hAnsiTheme="minorHAnsi" w:cstheme="minorHAnsi"/>
          <w:sz w:val="22"/>
        </w:rPr>
        <w:t xml:space="preserve"> zbędnych;</w:t>
      </w:r>
    </w:p>
    <w:p w14:paraId="4B148EA0"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Przy zwarciach zewnętrznych w stosunku do strefy chronionej – zabezpieczenie albo nie powinno zostać pobudzone, albo powinno działać wybiórczo z innymi układami (również automatyką LRW);</w:t>
      </w:r>
    </w:p>
    <w:p w14:paraId="6EB06624"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Wykonawca powinien zapewnić pełną współpracę z systemem nadzoru i sterowania stacji w zakresie układów i protokołów komunikacji, a w szczególności należy zapewnić dwa kanały transmisji danych:</w:t>
      </w:r>
    </w:p>
    <w:p w14:paraId="004B6101" w14:textId="77777777" w:rsidR="00271919" w:rsidRPr="00DF779F" w:rsidRDefault="00271919" w:rsidP="00B628F4">
      <w:pPr>
        <w:numPr>
          <w:ilvl w:val="1"/>
          <w:numId w:val="44"/>
        </w:numPr>
        <w:spacing w:before="0" w:after="0"/>
        <w:ind w:left="1418"/>
        <w:outlineLvl w:val="3"/>
        <w:rPr>
          <w:rFonts w:asciiTheme="minorHAnsi" w:hAnsiTheme="minorHAnsi" w:cstheme="minorHAnsi"/>
          <w:sz w:val="22"/>
        </w:rPr>
      </w:pPr>
      <w:r w:rsidRPr="00DF779F">
        <w:rPr>
          <w:rFonts w:asciiTheme="minorHAnsi" w:hAnsiTheme="minorHAnsi" w:cstheme="minorHAnsi"/>
          <w:sz w:val="22"/>
        </w:rPr>
        <w:t>Kanał telemechaniki - łącze światłowodowe – protokół: IEC60870-5-103 lub DNP 3.0,</w:t>
      </w:r>
    </w:p>
    <w:p w14:paraId="66D50275" w14:textId="77777777" w:rsidR="00271919" w:rsidRPr="00DF779F" w:rsidRDefault="00271919" w:rsidP="00B628F4">
      <w:pPr>
        <w:numPr>
          <w:ilvl w:val="1"/>
          <w:numId w:val="44"/>
        </w:numPr>
        <w:spacing w:before="0" w:after="0"/>
        <w:ind w:left="1418"/>
        <w:outlineLvl w:val="3"/>
        <w:rPr>
          <w:rFonts w:asciiTheme="minorHAnsi" w:hAnsiTheme="minorHAnsi" w:cstheme="minorHAnsi"/>
          <w:sz w:val="22"/>
        </w:rPr>
      </w:pPr>
      <w:r w:rsidRPr="00DF779F">
        <w:rPr>
          <w:rFonts w:asciiTheme="minorHAnsi" w:hAnsiTheme="minorHAnsi" w:cstheme="minorHAnsi"/>
          <w:sz w:val="22"/>
        </w:rPr>
        <w:t>Kanał inżynierski: Ethernet światłowód;</w:t>
      </w:r>
    </w:p>
    <w:p w14:paraId="14CC2AF5"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zabezpieczenia powinny posiadać dodatkowo kanał diagnostyczny do komunikacji lokalnej RS232 lub Ethernet;</w:t>
      </w:r>
    </w:p>
    <w:p w14:paraId="7798C2CE"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dla telemechaniki, kanału inżynierskiego oraz komunikacji lokalnej należy zapewnić szybkość transmisji na minimalnym poziomie 57600 b/s;</w:t>
      </w:r>
    </w:p>
    <w:p w14:paraId="3A7655D1"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powinna być zapewniona możliwość monitorowania zabezpieczenia, nastawiania, testowania oraz</w:t>
      </w:r>
      <w:r>
        <w:rPr>
          <w:rFonts w:asciiTheme="minorHAnsi" w:hAnsiTheme="minorHAnsi" w:cstheme="minorHAnsi"/>
          <w:sz w:val="22"/>
        </w:rPr>
        <w:t> </w:t>
      </w:r>
      <w:r w:rsidRPr="00DF779F">
        <w:rPr>
          <w:rFonts w:asciiTheme="minorHAnsi" w:hAnsiTheme="minorHAnsi" w:cstheme="minorHAnsi"/>
          <w:sz w:val="22"/>
        </w:rPr>
        <w:t>sczytywania z jego pamięci danych z zakresu rejestracji zakłóceń i lokalizacji miejsca zwarcia;</w:t>
      </w:r>
    </w:p>
    <w:p w14:paraId="68C70BDD"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proces obróbki danych powinien być zorganizowany w powszechnie przyjętym systemie operacyjnym dla PC Windows;</w:t>
      </w:r>
    </w:p>
    <w:p w14:paraId="371F0E6E"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przekaźniki powinny być tak skonstruowane, aby istniała możliwość ich zasilania z przekładników napięciowych z uziemioną fazą środkową lub punktem gwiazdowym;</w:t>
      </w:r>
    </w:p>
    <w:p w14:paraId="3D795014"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obwody przekładników prądowych powinny być automatycznie zwierane przy wyjmowaniu modułów przekaźnikowych;</w:t>
      </w:r>
    </w:p>
    <w:p w14:paraId="7201D8FE"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wszystkie funkcje operacyjne, funkcje samokontroli i obwody pomocniczych napięć zasilających układów przekaźnikowych powinny być monitorowane, a warunki nienormalne wyświetlane na LCD oraz wysyłane do systemu nadzoru. Dodatkowo do sygnalizacji centralnej mają być przekazywane stykowo sygnały: „awaryjne wyłączenie”, „uprzedzenie – UP) oraz „uszkodzenie zabezpieczenia lub</w:t>
      </w:r>
      <w:r>
        <w:rPr>
          <w:rFonts w:asciiTheme="minorHAnsi" w:hAnsiTheme="minorHAnsi" w:cstheme="minorHAnsi"/>
          <w:sz w:val="22"/>
        </w:rPr>
        <w:t> </w:t>
      </w:r>
      <w:r w:rsidRPr="00DF779F">
        <w:rPr>
          <w:rFonts w:asciiTheme="minorHAnsi" w:hAnsiTheme="minorHAnsi" w:cstheme="minorHAnsi"/>
          <w:sz w:val="22"/>
        </w:rPr>
        <w:t>zanik napięcia zasilania”;</w:t>
      </w:r>
    </w:p>
    <w:p w14:paraId="4BEE7E49"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liczba, dane znamionowe i łączeniowe styków przekaźnikowych wyjściowych, sygnałowych i wyłączających powinny być przez Wykonawcę dokładnie określone;</w:t>
      </w:r>
    </w:p>
    <w:p w14:paraId="176F93A8"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zabezpieczenia winny być wyposażone w zintegrowany panel operacyjny (MM) z zestawem programowalnych diod sygnalizacyjnych, umożliwiający nastawienia oraz przeglądanie zarejestrowanych zdarzeń z opisami w języku polskim;</w:t>
      </w:r>
    </w:p>
    <w:p w14:paraId="2E806568"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zabezpieczenia mają być swobodnie konfigurowalne w zakresie funkcji zabezpieczeniowych, sterowniczych, sygnalizacyjnych i pomiarowych;</w:t>
      </w:r>
    </w:p>
    <w:p w14:paraId="0EBF044D"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w przypadku zakłóceń w pracy zabezpieczenia nie może nastąpić zmiana zestawu parametrów na inny;</w:t>
      </w:r>
    </w:p>
    <w:p w14:paraId="5114B651"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zabezpieczenia powinny zawierać moduły umożliwiające sterowanie odłącznikami, uziemnikami, wyłącznikami i automatykami (SPZ, SZR, ARN, LRW) pól rozdzielni 110kV, stanowiących integralną część zabezpieczeń lub jako oddzielne, zainstalowane w szafach zabezpieczeń. Wejścia i wyjścia modułów sterowania winny być dostosowane do napięcia 220V DC. Niezbędne jest również przedstawienie propozycji rozwiązania pomiarów lokalnych prezentowanych wraz ze schematem synoptycznym  następującym zakresie pola liniowego 110 </w:t>
      </w:r>
      <w:proofErr w:type="spellStart"/>
      <w:r w:rsidRPr="00DF779F">
        <w:rPr>
          <w:rFonts w:asciiTheme="minorHAnsi" w:hAnsiTheme="minorHAnsi" w:cstheme="minorHAnsi"/>
          <w:sz w:val="22"/>
        </w:rPr>
        <w:t>kV</w:t>
      </w:r>
      <w:proofErr w:type="spellEnd"/>
      <w:r w:rsidRPr="00DF779F">
        <w:rPr>
          <w:rFonts w:asciiTheme="minorHAnsi" w:hAnsiTheme="minorHAnsi" w:cstheme="minorHAnsi"/>
          <w:sz w:val="22"/>
        </w:rPr>
        <w:t>:</w:t>
      </w:r>
    </w:p>
    <w:p w14:paraId="22A3320C" w14:textId="77777777" w:rsidR="00271919" w:rsidRPr="00DF779F" w:rsidRDefault="00271919" w:rsidP="00B628F4">
      <w:pPr>
        <w:numPr>
          <w:ilvl w:val="1"/>
          <w:numId w:val="44"/>
        </w:numPr>
        <w:spacing w:before="0" w:after="0"/>
        <w:ind w:left="1560"/>
        <w:outlineLvl w:val="3"/>
        <w:rPr>
          <w:rFonts w:asciiTheme="minorHAnsi" w:hAnsiTheme="minorHAnsi" w:cstheme="minorHAnsi"/>
          <w:sz w:val="22"/>
        </w:rPr>
      </w:pPr>
      <w:r w:rsidRPr="00DF779F">
        <w:rPr>
          <w:rFonts w:asciiTheme="minorHAnsi" w:hAnsiTheme="minorHAnsi" w:cstheme="minorHAnsi"/>
          <w:sz w:val="22"/>
        </w:rPr>
        <w:lastRenderedPageBreak/>
        <w:t>pomiar prądu w 3 fazach,</w:t>
      </w:r>
    </w:p>
    <w:p w14:paraId="69C3AA0F" w14:textId="77777777" w:rsidR="00271919" w:rsidRPr="00DF779F" w:rsidRDefault="00271919" w:rsidP="00B628F4">
      <w:pPr>
        <w:numPr>
          <w:ilvl w:val="1"/>
          <w:numId w:val="44"/>
        </w:numPr>
        <w:spacing w:before="0" w:after="0"/>
        <w:ind w:left="1560"/>
        <w:outlineLvl w:val="3"/>
        <w:rPr>
          <w:rFonts w:asciiTheme="minorHAnsi" w:hAnsiTheme="minorHAnsi" w:cstheme="minorHAnsi"/>
          <w:sz w:val="22"/>
        </w:rPr>
      </w:pPr>
      <w:r w:rsidRPr="00DF779F">
        <w:rPr>
          <w:rFonts w:asciiTheme="minorHAnsi" w:hAnsiTheme="minorHAnsi" w:cstheme="minorHAnsi"/>
          <w:sz w:val="22"/>
        </w:rPr>
        <w:t>pomiar napięć – fazowych i międzyprzewodowych,</w:t>
      </w:r>
    </w:p>
    <w:p w14:paraId="125FE807" w14:textId="77777777" w:rsidR="00271919" w:rsidRPr="00DF779F" w:rsidRDefault="00271919" w:rsidP="00B628F4">
      <w:pPr>
        <w:numPr>
          <w:ilvl w:val="1"/>
          <w:numId w:val="44"/>
        </w:numPr>
        <w:spacing w:before="0" w:after="0"/>
        <w:ind w:left="1560"/>
        <w:outlineLvl w:val="3"/>
        <w:rPr>
          <w:rFonts w:asciiTheme="minorHAnsi" w:hAnsiTheme="minorHAnsi" w:cstheme="minorHAnsi"/>
          <w:sz w:val="22"/>
        </w:rPr>
      </w:pPr>
      <w:r w:rsidRPr="00DF779F">
        <w:rPr>
          <w:rFonts w:asciiTheme="minorHAnsi" w:hAnsiTheme="minorHAnsi" w:cstheme="minorHAnsi"/>
          <w:sz w:val="22"/>
        </w:rPr>
        <w:t>pomiar mocy czynnej i biernej,</w:t>
      </w:r>
    </w:p>
    <w:p w14:paraId="04552193"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w szafach sterowniczo-zabezpieczeniowych należy przewidzieć dodatkowy panel sterowniczy do lokalnego sterowania polem;</w:t>
      </w:r>
    </w:p>
    <w:p w14:paraId="50F5AD63"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wykonawca powinien dostarczyć wszystkie wymagane przekaźniki pomocnicze i czasowe, umożliwiające działanie wszystkich wymaganych funkcji zabezpieczeń i współpracę z systemem sterowania i nadzoru dla stacji;</w:t>
      </w:r>
    </w:p>
    <w:p w14:paraId="7C099683"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Dane obwodów pomiarowych i wyjściowych:</w:t>
      </w:r>
    </w:p>
    <w:p w14:paraId="16E020D8"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napięcie znamionowe pomiarowe:</w:t>
      </w:r>
      <w:r w:rsidRPr="00DF779F">
        <w:rPr>
          <w:rFonts w:asciiTheme="minorHAnsi" w:hAnsiTheme="minorHAnsi" w:cstheme="minorHAnsi"/>
          <w:sz w:val="22"/>
        </w:rPr>
        <w:tab/>
      </w:r>
      <w:proofErr w:type="spellStart"/>
      <w:r w:rsidRPr="00DF779F">
        <w:rPr>
          <w:rFonts w:asciiTheme="minorHAnsi" w:hAnsiTheme="minorHAnsi" w:cstheme="minorHAnsi"/>
          <w:sz w:val="22"/>
        </w:rPr>
        <w:t>Un</w:t>
      </w:r>
      <w:proofErr w:type="spellEnd"/>
      <w:r w:rsidRPr="00DF779F">
        <w:rPr>
          <w:rFonts w:asciiTheme="minorHAnsi" w:hAnsiTheme="minorHAnsi" w:cstheme="minorHAnsi"/>
          <w:sz w:val="22"/>
        </w:rPr>
        <w:t>=100 V,</w:t>
      </w:r>
    </w:p>
    <w:p w14:paraId="2F58BEAF"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prąd znamionowy pomiarowy:</w:t>
      </w:r>
      <w:r w:rsidRPr="00DF779F">
        <w:rPr>
          <w:rFonts w:asciiTheme="minorHAnsi" w:hAnsiTheme="minorHAnsi" w:cstheme="minorHAnsi"/>
          <w:sz w:val="22"/>
        </w:rPr>
        <w:tab/>
        <w:t>In=1A,</w:t>
      </w:r>
    </w:p>
    <w:p w14:paraId="7A980C99"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częstotliwość znamionowa:</w:t>
      </w:r>
      <w:r w:rsidRPr="00DF779F">
        <w:rPr>
          <w:rFonts w:asciiTheme="minorHAnsi" w:hAnsiTheme="minorHAnsi" w:cstheme="minorHAnsi"/>
          <w:sz w:val="22"/>
        </w:rPr>
        <w:tab/>
        <w:t xml:space="preserve">50 </w:t>
      </w:r>
      <w:proofErr w:type="spellStart"/>
      <w:r w:rsidRPr="00DF779F">
        <w:rPr>
          <w:rFonts w:asciiTheme="minorHAnsi" w:hAnsiTheme="minorHAnsi" w:cstheme="minorHAnsi"/>
          <w:sz w:val="22"/>
        </w:rPr>
        <w:t>Hz</w:t>
      </w:r>
      <w:proofErr w:type="spellEnd"/>
      <w:r w:rsidRPr="00DF779F">
        <w:rPr>
          <w:rFonts w:asciiTheme="minorHAnsi" w:hAnsiTheme="minorHAnsi" w:cstheme="minorHAnsi"/>
          <w:sz w:val="22"/>
        </w:rPr>
        <w:t>,</w:t>
      </w:r>
    </w:p>
    <w:p w14:paraId="36283F4C"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szCs w:val="22"/>
        </w:rPr>
      </w:pPr>
      <w:r w:rsidRPr="00DF779F">
        <w:rPr>
          <w:rFonts w:asciiTheme="minorHAnsi" w:hAnsiTheme="minorHAnsi" w:cstheme="minorHAnsi"/>
          <w:sz w:val="22"/>
        </w:rPr>
        <w:t>dopuszczalny</w:t>
      </w:r>
      <w:r w:rsidRPr="00DF779F">
        <w:rPr>
          <w:rFonts w:asciiTheme="minorHAnsi" w:hAnsiTheme="minorHAnsi" w:cstheme="minorHAnsi"/>
          <w:sz w:val="22"/>
          <w:szCs w:val="22"/>
        </w:rPr>
        <w:t xml:space="preserve"> zakres częstotliwości roboczej:</w:t>
      </w:r>
      <w:r w:rsidRPr="00DF779F">
        <w:rPr>
          <w:rFonts w:asciiTheme="minorHAnsi" w:hAnsiTheme="minorHAnsi" w:cstheme="minorHAnsi"/>
          <w:sz w:val="22"/>
          <w:szCs w:val="22"/>
        </w:rPr>
        <w:tab/>
        <w:t xml:space="preserve">47-52 </w:t>
      </w:r>
      <w:proofErr w:type="spellStart"/>
      <w:r w:rsidRPr="00DF779F">
        <w:rPr>
          <w:rFonts w:asciiTheme="minorHAnsi" w:hAnsiTheme="minorHAnsi" w:cstheme="minorHAnsi"/>
          <w:sz w:val="22"/>
          <w:szCs w:val="22"/>
        </w:rPr>
        <w:t>Hz</w:t>
      </w:r>
      <w:proofErr w:type="spellEnd"/>
      <w:r w:rsidRPr="00DF779F">
        <w:rPr>
          <w:rFonts w:asciiTheme="minorHAnsi" w:hAnsiTheme="minorHAnsi" w:cstheme="minorHAnsi"/>
          <w:sz w:val="22"/>
          <w:szCs w:val="22"/>
        </w:rPr>
        <w:t>,</w:t>
      </w:r>
    </w:p>
    <w:p w14:paraId="411107DF"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obwody zasilania pomocniczego, sterownicze i sygnalizacyjne:</w:t>
      </w:r>
    </w:p>
    <w:p w14:paraId="4567D7DE"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 xml:space="preserve">napięcie zasilające elektroniki, obwodów wejściowych, wyjściowych wyłączających znamionowe: </w:t>
      </w:r>
      <w:r w:rsidRPr="00DF779F">
        <w:rPr>
          <w:rFonts w:asciiTheme="minorHAnsi" w:hAnsiTheme="minorHAnsi" w:cstheme="minorHAnsi"/>
          <w:sz w:val="22"/>
        </w:rPr>
        <w:tab/>
        <w:t>220 V DC,</w:t>
      </w:r>
    </w:p>
    <w:p w14:paraId="3BD14208"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 xml:space="preserve">dopuszczalny zakres pracy napięcia pomocniczego: (0.8 </w:t>
      </w:r>
      <w:r w:rsidRPr="00DF779F">
        <w:rPr>
          <w:rFonts w:asciiTheme="minorHAnsi" w:hAnsiTheme="minorHAnsi" w:cstheme="minorHAnsi"/>
          <w:sz w:val="22"/>
        </w:rPr>
        <w:noBreakHyphen/>
        <w:t xml:space="preserve"> 1.1) </w:t>
      </w:r>
      <w:proofErr w:type="spellStart"/>
      <w:r w:rsidRPr="00DF779F">
        <w:rPr>
          <w:rFonts w:asciiTheme="minorHAnsi" w:hAnsiTheme="minorHAnsi" w:cstheme="minorHAnsi"/>
          <w:sz w:val="22"/>
        </w:rPr>
        <w:t>Un</w:t>
      </w:r>
      <w:proofErr w:type="spellEnd"/>
      <w:r w:rsidRPr="00DF779F">
        <w:rPr>
          <w:rFonts w:asciiTheme="minorHAnsi" w:hAnsiTheme="minorHAnsi" w:cstheme="minorHAnsi"/>
          <w:sz w:val="22"/>
        </w:rPr>
        <w:t>,</w:t>
      </w:r>
    </w:p>
    <w:p w14:paraId="65DEF356"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zestyki sygnałowe i wyłączające przekaźników wyjściowych powinny być jednoznacznie oznakowane i określone ich zdolności łączeniowe przy zamykaniu i otwieraniu. Powinny być programowalne i dostosowane do wymagań obwodów sygnałowych i wyłączających,</w:t>
      </w:r>
    </w:p>
    <w:p w14:paraId="352A208E" w14:textId="77777777" w:rsidR="00271919" w:rsidRPr="00DF779F" w:rsidRDefault="00271919" w:rsidP="00B628F4">
      <w:pPr>
        <w:numPr>
          <w:ilvl w:val="1"/>
          <w:numId w:val="44"/>
        </w:numPr>
        <w:tabs>
          <w:tab w:val="left" w:pos="5812"/>
        </w:tabs>
        <w:spacing w:before="0" w:after="0"/>
        <w:ind w:left="1560"/>
        <w:outlineLvl w:val="3"/>
        <w:rPr>
          <w:rFonts w:asciiTheme="minorHAnsi" w:hAnsiTheme="minorHAnsi" w:cstheme="minorHAnsi"/>
          <w:sz w:val="22"/>
        </w:rPr>
      </w:pPr>
      <w:r w:rsidRPr="00DF779F">
        <w:rPr>
          <w:rFonts w:asciiTheme="minorHAnsi" w:hAnsiTheme="minorHAnsi" w:cstheme="minorHAnsi"/>
          <w:sz w:val="22"/>
        </w:rPr>
        <w:t>zestyki sygnałowe (z możliwością rozbudowy) powinny obejmować ilości zależne od funkcji terminala (podane przez producentów);</w:t>
      </w:r>
    </w:p>
    <w:p w14:paraId="2C2FBA29"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rPr>
      </w:pPr>
      <w:r w:rsidRPr="00DF779F">
        <w:rPr>
          <w:rFonts w:asciiTheme="minorHAnsi" w:hAnsiTheme="minorHAnsi" w:cstheme="minorHAnsi"/>
          <w:sz w:val="22"/>
        </w:rPr>
        <w:t xml:space="preserve">gniazda testujące do zabezpieczeń oraz komplet niezbędnych wtyków od tych gniazd - wszystkie zabezpieczenia winny być wyposażone w gniazda testujące lub alternatywnie można zastosować listwy zaciskowe probiercze do testowania zabezpieczeń zawierające zaciski zwierne i </w:t>
      </w:r>
      <w:proofErr w:type="spellStart"/>
      <w:r w:rsidRPr="00DF779F">
        <w:rPr>
          <w:rFonts w:asciiTheme="minorHAnsi" w:hAnsiTheme="minorHAnsi" w:cstheme="minorHAnsi"/>
          <w:sz w:val="22"/>
        </w:rPr>
        <w:t>rozwierne</w:t>
      </w:r>
      <w:proofErr w:type="spellEnd"/>
      <w:r w:rsidRPr="00DF779F">
        <w:rPr>
          <w:rFonts w:asciiTheme="minorHAnsi" w:hAnsiTheme="minorHAnsi" w:cstheme="minorHAnsi"/>
          <w:sz w:val="22"/>
        </w:rPr>
        <w:t>;</w:t>
      </w:r>
    </w:p>
    <w:p w14:paraId="3E0570D1" w14:textId="77777777" w:rsidR="00271919" w:rsidRPr="00DF779F" w:rsidRDefault="00271919" w:rsidP="00B628F4">
      <w:pPr>
        <w:numPr>
          <w:ilvl w:val="0"/>
          <w:numId w:val="44"/>
        </w:numPr>
        <w:spacing w:before="0" w:after="0"/>
        <w:ind w:left="426" w:hanging="426"/>
        <w:outlineLvl w:val="3"/>
        <w:rPr>
          <w:rFonts w:asciiTheme="minorHAnsi" w:hAnsiTheme="minorHAnsi" w:cstheme="minorHAnsi"/>
          <w:sz w:val="22"/>
          <w:szCs w:val="22"/>
        </w:rPr>
      </w:pPr>
      <w:r w:rsidRPr="00DF779F">
        <w:rPr>
          <w:rFonts w:asciiTheme="minorHAnsi" w:hAnsiTheme="minorHAnsi" w:cstheme="minorHAnsi"/>
          <w:sz w:val="22"/>
        </w:rPr>
        <w:t>zabezpieczania rozdzielni 110 </w:t>
      </w:r>
      <w:proofErr w:type="spellStart"/>
      <w:r w:rsidRPr="00DF779F">
        <w:rPr>
          <w:rFonts w:asciiTheme="minorHAnsi" w:hAnsiTheme="minorHAnsi" w:cstheme="minorHAnsi"/>
          <w:sz w:val="22"/>
        </w:rPr>
        <w:t>kV</w:t>
      </w:r>
      <w:proofErr w:type="spellEnd"/>
      <w:r w:rsidRPr="00DF779F">
        <w:rPr>
          <w:rFonts w:asciiTheme="minorHAnsi" w:hAnsiTheme="minorHAnsi" w:cstheme="minorHAnsi"/>
          <w:sz w:val="22"/>
        </w:rPr>
        <w:t xml:space="preserve"> muszą być urządzeniami jednego producenta. </w:t>
      </w:r>
      <w:r w:rsidRPr="00DF779F">
        <w:rPr>
          <w:rFonts w:asciiTheme="minorHAnsi" w:hAnsiTheme="minorHAnsi" w:cstheme="minorHAnsi"/>
          <w:b/>
          <w:sz w:val="22"/>
          <w:szCs w:val="22"/>
        </w:rPr>
        <w:t>Wymaganie nie dotyczy: ZS i LRW rozdzielni 110kV oraz regulatorów ARN</w:t>
      </w:r>
      <w:r w:rsidRPr="00DF779F">
        <w:rPr>
          <w:rFonts w:asciiTheme="minorHAnsi" w:hAnsiTheme="minorHAnsi" w:cstheme="minorHAnsi"/>
          <w:bCs/>
          <w:sz w:val="22"/>
          <w:szCs w:val="22"/>
        </w:rPr>
        <w:t>.</w:t>
      </w:r>
    </w:p>
    <w:p w14:paraId="489DCB91" w14:textId="77777777" w:rsidR="00271919" w:rsidRDefault="00271919" w:rsidP="00941EC8">
      <w:pPr>
        <w:widowControl w:val="0"/>
        <w:autoSpaceDE w:val="0"/>
        <w:autoSpaceDN w:val="0"/>
        <w:adjustRightInd w:val="0"/>
        <w:spacing w:before="0" w:after="0" w:line="276" w:lineRule="auto"/>
        <w:ind w:left="0" w:firstLine="0"/>
        <w:jc w:val="left"/>
        <w:rPr>
          <w:rFonts w:ascii="Calibri" w:hAnsi="Calibri" w:cs="Calibri"/>
          <w:sz w:val="22"/>
          <w:szCs w:val="22"/>
          <w:u w:val="single"/>
        </w:rPr>
      </w:pPr>
    </w:p>
    <w:p w14:paraId="6789452D"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78" w:name="_Toc66355934"/>
      <w:bookmarkStart w:id="79" w:name="_Toc198028124"/>
      <w:r w:rsidRPr="00FD724B">
        <w:rPr>
          <w:rFonts w:asciiTheme="minorHAnsi" w:hAnsiTheme="minorHAnsi" w:cstheme="minorHAnsi"/>
          <w:b/>
          <w:bCs/>
          <w:i/>
          <w:iCs/>
          <w:snapToGrid w:val="0"/>
          <w:sz w:val="22"/>
          <w:szCs w:val="22"/>
          <w:u w:val="single"/>
        </w:rPr>
        <w:t>Zabezpieczenia</w:t>
      </w:r>
    </w:p>
    <w:p w14:paraId="182FCE81"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wykonanie - wszystkie zabezpieczenia cyfrowe;</w:t>
      </w:r>
    </w:p>
    <w:p w14:paraId="7D11E7B4"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czynnych pól linii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 stacji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CPK:</w:t>
      </w:r>
    </w:p>
    <w:p w14:paraId="32F2D11D"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podstawowe odcinkowe linii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współpracujące z półkompletem zainstalowanym w polach 110kV CPK w stacjach: 110/15kV Sochaczew (2x), 110/15kV Teresin, 110/15kV Żyrardów, 110/15kV Bielnik, 110/15kV Grodzisk; W ww. stacjach powiązanych w polach CPK należy zweryfikować, ewentualnie wymienić/doposażyć półkomplet zabezpieczenia odcinkowego;</w:t>
      </w:r>
    </w:p>
    <w:p w14:paraId="284D0E98"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odległościowe linii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uwspółbieżnione poprzez łącze niezależne od zabezpieczenia odcinkowych, realizujące kontrolę synchronizmu oraz automatykę SPZ z wymianą zabezpieczeń odległościowych na drugim końcu;</w:t>
      </w:r>
    </w:p>
    <w:p w14:paraId="2F359484"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ziemnozwarciowe z funkcją sterownika polowego.</w:t>
      </w:r>
    </w:p>
    <w:p w14:paraId="358F67BE"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pola sprzęgła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598BAB0E"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odległościowe pełniące rolę zabezpieczenia rozcinającego lub rezerwowego zabezpieczenia linii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5E2E196B"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sterownik pola z funkcją ziemnozwarciową;</w:t>
      </w:r>
    </w:p>
    <w:p w14:paraId="2991F5D7"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automatyka SZR 110kV.</w:t>
      </w:r>
    </w:p>
    <w:p w14:paraId="5F90F605"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funkcje sterownika pola: </w:t>
      </w:r>
    </w:p>
    <w:p w14:paraId="573B1181"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sterowanie min. 5 łącznikami;</w:t>
      </w:r>
    </w:p>
    <w:p w14:paraId="101B6D17"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duży wyświetlacz graficzny z synoptyką pola, pomiarami, listą zdarzeń, nastawami;</w:t>
      </w:r>
    </w:p>
    <w:p w14:paraId="0734BC10"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możliwość sterowania łącznikami i automatykami z klawiatury;</w:t>
      </w:r>
    </w:p>
    <w:p w14:paraId="0D1F67D7"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lastRenderedPageBreak/>
        <w:t>sygnalizacja diodowa – min. 8 diod programowalnych oprócz stałej sygnalizacji diodowej: praca/uszkodzenie, wyłączenie, UP;</w:t>
      </w:r>
    </w:p>
    <w:p w14:paraId="08DF5529"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pomiary mierzonych wartości prądów, napięć oraz mocy P, Q oraz energii elektrycznej;</w:t>
      </w:r>
    </w:p>
    <w:p w14:paraId="7AD2C641"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obsługa menu w języku polskim.</w:t>
      </w:r>
    </w:p>
    <w:p w14:paraId="030CACF2"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lokalna rezerwa wyłącznikowa: </w:t>
      </w:r>
    </w:p>
    <w:p w14:paraId="185360CF"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t>
      </w:r>
      <w:r w:rsidRPr="00DF779F">
        <w:rPr>
          <w:rFonts w:asciiTheme="minorHAnsi" w:hAnsiTheme="minorHAnsi" w:cstheme="minorHAnsi"/>
          <w:sz w:val="22"/>
          <w:szCs w:val="22"/>
        </w:rPr>
        <w:tab/>
        <w:t>LRW rozdzielni 110kV;</w:t>
      </w:r>
    </w:p>
    <w:p w14:paraId="51B5B513"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szyn zbiorczych - układ ZS dla rozdzielni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42F07C82"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automatyka: </w:t>
      </w:r>
    </w:p>
    <w:p w14:paraId="1EE56291"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jednokrotny SPZ pól liniowych linii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61031842"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układ SZR dla rozdzielni: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(rezerwa jawna i ukryta);</w:t>
      </w:r>
    </w:p>
    <w:p w14:paraId="4EC69609"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sterowania i blokady: </w:t>
      </w:r>
    </w:p>
    <w:p w14:paraId="3376ACFD"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sterowanie wszystkimi łącznikami rozdzielni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(oraz stan położenia) zrealizowane przez wejścia/wyjścia binarne koncentratora telemechaniki oraz informacyjnie wprowadzone do</w:t>
      </w:r>
      <w:r>
        <w:rPr>
          <w:rFonts w:asciiTheme="minorHAnsi" w:hAnsiTheme="minorHAnsi" w:cstheme="minorHAnsi"/>
          <w:sz w:val="22"/>
          <w:szCs w:val="22"/>
        </w:rPr>
        <w:t> </w:t>
      </w:r>
      <w:r w:rsidRPr="00DF779F">
        <w:rPr>
          <w:rFonts w:asciiTheme="minorHAnsi" w:hAnsiTheme="minorHAnsi" w:cstheme="minorHAnsi"/>
          <w:sz w:val="22"/>
          <w:szCs w:val="22"/>
        </w:rPr>
        <w:t>odpowiednich terminali polowych;</w:t>
      </w:r>
    </w:p>
    <w:p w14:paraId="6AD737F4"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blokady polowe i </w:t>
      </w:r>
      <w:proofErr w:type="spellStart"/>
      <w:r w:rsidRPr="00DF779F">
        <w:rPr>
          <w:rFonts w:asciiTheme="minorHAnsi" w:hAnsiTheme="minorHAnsi" w:cstheme="minorHAnsi"/>
          <w:sz w:val="22"/>
          <w:szCs w:val="22"/>
        </w:rPr>
        <w:t>międzypolowe</w:t>
      </w:r>
      <w:proofErr w:type="spellEnd"/>
      <w:r w:rsidRPr="00DF779F">
        <w:rPr>
          <w:rFonts w:asciiTheme="minorHAnsi" w:hAnsiTheme="minorHAnsi" w:cstheme="minorHAnsi"/>
          <w:sz w:val="22"/>
          <w:szCs w:val="22"/>
        </w:rPr>
        <w:t>, zrealizowane w oparciu o blokady elektromechaniczne i programowe w zespołach zabezpieczeń;</w:t>
      </w:r>
    </w:p>
    <w:p w14:paraId="5D8A87DF" w14:textId="77777777" w:rsidR="00271919" w:rsidRPr="00DF779F" w:rsidRDefault="00271919" w:rsidP="00B628F4">
      <w:pPr>
        <w:widowControl w:val="0"/>
        <w:numPr>
          <w:ilvl w:val="1"/>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łączniki rozdzielni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sterowane: zdalnie z systemu nadzoru </w:t>
      </w:r>
      <w:proofErr w:type="spellStart"/>
      <w:r w:rsidRPr="00DF779F">
        <w:rPr>
          <w:rFonts w:asciiTheme="minorHAnsi" w:hAnsiTheme="minorHAnsi" w:cstheme="minorHAnsi"/>
          <w:sz w:val="22"/>
          <w:szCs w:val="22"/>
        </w:rPr>
        <w:t>Ex_Windex</w:t>
      </w:r>
      <w:proofErr w:type="spellEnd"/>
      <w:r w:rsidRPr="00DF779F">
        <w:rPr>
          <w:rFonts w:asciiTheme="minorHAnsi" w:hAnsiTheme="minorHAnsi" w:cstheme="minorHAnsi"/>
          <w:sz w:val="22"/>
          <w:szCs w:val="22"/>
        </w:rPr>
        <w:t>, z nastawni z zespołów sterowniczych zlokalizowanych w szafach przekaźnikowych, z front panelu zabezpieczenia oraz dodatkowo możliwość sterowania przyciskami zlokalizowanymi w szafce sterowniczej wyłącznika;</w:t>
      </w:r>
    </w:p>
    <w:p w14:paraId="268B5626"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sygnalizacja zbiorcza stacji - zespół centralnej sygnalizacji zakłóceń oparty o technikę mikroprocesorową;</w:t>
      </w:r>
    </w:p>
    <w:p w14:paraId="4A74A501"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zdalny dostęp do zabezpieczeń przez kanał inżynierski; </w:t>
      </w:r>
    </w:p>
    <w:p w14:paraId="77EAEFDA"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przystosowane do pracy w sieci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ze skutecznie uziemionym punktem zerowym, częstotliwość 50 </w:t>
      </w:r>
      <w:proofErr w:type="spellStart"/>
      <w:r w:rsidRPr="00DF779F">
        <w:rPr>
          <w:rFonts w:asciiTheme="minorHAnsi" w:hAnsiTheme="minorHAnsi" w:cstheme="minorHAnsi"/>
          <w:sz w:val="22"/>
          <w:szCs w:val="22"/>
        </w:rPr>
        <w:t>Hz</w:t>
      </w:r>
      <w:proofErr w:type="spellEnd"/>
      <w:r w:rsidRPr="00DF779F">
        <w:rPr>
          <w:rFonts w:asciiTheme="minorHAnsi" w:hAnsiTheme="minorHAnsi" w:cstheme="minorHAnsi"/>
          <w:sz w:val="22"/>
          <w:szCs w:val="22"/>
        </w:rPr>
        <w:t>;</w:t>
      </w:r>
    </w:p>
    <w:p w14:paraId="0B006BE5" w14:textId="77777777" w:rsidR="00271919" w:rsidRPr="00DF779F" w:rsidRDefault="00271919" w:rsidP="00B628F4">
      <w:pPr>
        <w:widowControl w:val="0"/>
        <w:numPr>
          <w:ilvl w:val="0"/>
          <w:numId w:val="45"/>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 istniejących stacjach Sochaczew, Żyrardów, Teresin, Bielnik i Grodzisk pola liniowe 110kV kierunek stacja 110kV CPK wyposażyć w półkomplety zabezpieczeń odcinkowych, współpracujących z zabezpieczeniami różnicowo-prądowymi w nowej stacji 110kV CPK (projektowane pola liniowe Grodzisk, Żyrardów, Sochaczew tor 1, Teresin, Bielnik, Sochaczew tor 2).</w:t>
      </w:r>
    </w:p>
    <w:p w14:paraId="2A37E0AC"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80" w:name="_Toc116902490"/>
      <w:r w:rsidRPr="00FD724B">
        <w:rPr>
          <w:rFonts w:asciiTheme="minorHAnsi" w:hAnsiTheme="minorHAnsi" w:cstheme="minorHAnsi"/>
          <w:b/>
          <w:bCs/>
          <w:i/>
          <w:iCs/>
          <w:snapToGrid w:val="0"/>
          <w:sz w:val="22"/>
          <w:szCs w:val="22"/>
          <w:u w:val="single"/>
        </w:rPr>
        <w:t xml:space="preserve">Zabezpieczenia pola liniowego </w:t>
      </w:r>
      <w:bookmarkEnd w:id="80"/>
      <w:r w:rsidRPr="00FD724B">
        <w:rPr>
          <w:rFonts w:asciiTheme="minorHAnsi" w:hAnsiTheme="minorHAnsi" w:cstheme="minorHAnsi"/>
          <w:b/>
          <w:bCs/>
          <w:i/>
          <w:iCs/>
          <w:snapToGrid w:val="0"/>
          <w:sz w:val="22"/>
          <w:szCs w:val="22"/>
          <w:u w:val="single"/>
        </w:rPr>
        <w:t>110 </w:t>
      </w:r>
      <w:proofErr w:type="spellStart"/>
      <w:r w:rsidRPr="00FD724B">
        <w:rPr>
          <w:rFonts w:asciiTheme="minorHAnsi" w:hAnsiTheme="minorHAnsi" w:cstheme="minorHAnsi"/>
          <w:b/>
          <w:bCs/>
          <w:i/>
          <w:iCs/>
          <w:snapToGrid w:val="0"/>
          <w:sz w:val="22"/>
          <w:szCs w:val="22"/>
          <w:u w:val="single"/>
        </w:rPr>
        <w:t>kV</w:t>
      </w:r>
      <w:proofErr w:type="spellEnd"/>
    </w:p>
    <w:p w14:paraId="3CB2EDF7"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przystosowane do pracy w sieci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ze skutecznie uziemionym punktem zerowym, częstotliwość 50 </w:t>
      </w:r>
      <w:proofErr w:type="spellStart"/>
      <w:r w:rsidRPr="00DF779F">
        <w:rPr>
          <w:rFonts w:asciiTheme="minorHAnsi" w:hAnsiTheme="minorHAnsi" w:cstheme="minorHAnsi"/>
          <w:sz w:val="22"/>
          <w:szCs w:val="22"/>
        </w:rPr>
        <w:t>Hz</w:t>
      </w:r>
      <w:proofErr w:type="spellEnd"/>
      <w:r w:rsidRPr="00DF779F">
        <w:rPr>
          <w:rFonts w:asciiTheme="minorHAnsi" w:hAnsiTheme="minorHAnsi" w:cstheme="minorHAnsi"/>
          <w:sz w:val="22"/>
          <w:szCs w:val="22"/>
        </w:rPr>
        <w:t>;</w:t>
      </w:r>
    </w:p>
    <w:p w14:paraId="37600183"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przynajmniej jedno z zabezpieczeń w polu (podstawowe lub rezerwowe) powinno być wyposażone w wyświetlacz graficzny z synoptyką pola oraz w przyciski bezpośredniego sterowania z pulpitu zabezpieczenia;</w:t>
      </w:r>
    </w:p>
    <w:p w14:paraId="7926BDD3"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oprogramowania użytkowe do konfiguracji opisu i edycji poszczególnych oznaczeń na schemacie synoptycznym oraz komunikatów wewnątrz zabezpieczeń preferowane w języku polskim. Dostawca w ofercie powinien określić możliwości ekspozycji pomiarów oraz innych informacji na wyświetlaczu danego pola;</w:t>
      </w:r>
    </w:p>
    <w:p w14:paraId="5E4D538B"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wszystkie sygnały </w:t>
      </w:r>
      <w:proofErr w:type="spellStart"/>
      <w:r w:rsidRPr="00DF779F">
        <w:rPr>
          <w:rFonts w:asciiTheme="minorHAnsi" w:hAnsiTheme="minorHAnsi" w:cstheme="minorHAnsi"/>
          <w:sz w:val="22"/>
          <w:szCs w:val="22"/>
        </w:rPr>
        <w:t>pobudzeń</w:t>
      </w:r>
      <w:proofErr w:type="spellEnd"/>
      <w:r w:rsidRPr="00DF779F">
        <w:rPr>
          <w:rFonts w:asciiTheme="minorHAnsi" w:hAnsiTheme="minorHAnsi" w:cstheme="minorHAnsi"/>
          <w:sz w:val="22"/>
          <w:szCs w:val="22"/>
        </w:rPr>
        <w:t xml:space="preserve"> i zadziałania zabezpieczeń powinny mieć możliwość czasowego opóźnienia (programowanego);</w:t>
      </w:r>
    </w:p>
    <w:p w14:paraId="578ADA21"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wszystkie zdarzenia, które występują w polach rozdzielni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powinny być cechowane z możliwością wykorzystania impulsów zegara zewnętrznego;</w:t>
      </w:r>
    </w:p>
    <w:p w14:paraId="04DF0DA4" w14:textId="53B8700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wyżej wymienione urządzenia muszą być </w:t>
      </w:r>
      <w:r w:rsidRPr="00271919">
        <w:rPr>
          <w:rFonts w:asciiTheme="minorHAnsi" w:hAnsiTheme="minorHAnsi" w:cstheme="minorHAnsi"/>
          <w:sz w:val="22"/>
          <w:szCs w:val="22"/>
        </w:rPr>
        <w:t>w wersji szafowej z</w:t>
      </w:r>
      <w:r w:rsidRPr="00DF779F">
        <w:rPr>
          <w:rFonts w:asciiTheme="minorHAnsi" w:hAnsiTheme="minorHAnsi" w:cstheme="minorHAnsi"/>
          <w:sz w:val="22"/>
          <w:szCs w:val="22"/>
        </w:rPr>
        <w:t xml:space="preserve"> zaciskami przyłączeniowymi w postaci złącz wtykowych dociskanych śrubą (listwa zaciskowa wtykowa);</w:t>
      </w:r>
    </w:p>
    <w:p w14:paraId="7C1B0465"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muszą realizować ciągły nadzór swoich elementów i funkcji (</w:t>
      </w:r>
      <w:proofErr w:type="spellStart"/>
      <w:r w:rsidRPr="00DF779F">
        <w:rPr>
          <w:rFonts w:asciiTheme="minorHAnsi" w:hAnsiTheme="minorHAnsi" w:cstheme="minorHAnsi"/>
          <w:sz w:val="22"/>
          <w:szCs w:val="22"/>
        </w:rPr>
        <w:t>samotestowanie</w:t>
      </w:r>
      <w:proofErr w:type="spellEnd"/>
      <w:r w:rsidRPr="00DF779F">
        <w:rPr>
          <w:rFonts w:asciiTheme="minorHAnsi" w:hAnsiTheme="minorHAnsi" w:cstheme="minorHAnsi"/>
          <w:sz w:val="22"/>
          <w:szCs w:val="22"/>
        </w:rPr>
        <w:t>) celem wykrycia błędów, które mogłyby spowodować niepoprawne działanie. Błędy powinny być sygnalizowane lokalnie sygnalizacją ostrzegawczą i przesyłanie do systemu nadzoru;</w:t>
      </w:r>
    </w:p>
    <w:p w14:paraId="3384A342"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dostawca zabezpieczeń jest zobowiązany do dostarczenia licencjonowanego oprogramowania użytkowego i konfiguracyjnego przekaźnika. Licencja oprogramowania powinna obejmować czas </w:t>
      </w:r>
      <w:r w:rsidRPr="00DF779F">
        <w:rPr>
          <w:rFonts w:asciiTheme="minorHAnsi" w:hAnsiTheme="minorHAnsi" w:cstheme="minorHAnsi"/>
          <w:sz w:val="22"/>
          <w:szCs w:val="22"/>
        </w:rPr>
        <w:lastRenderedPageBreak/>
        <w:t>użytkowania przekaźnika przez Inwestora;</w:t>
      </w:r>
    </w:p>
    <w:p w14:paraId="0277EB87"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 przypadku oprogramowania objętego licencją, Wykonawca dostarczy 5 kluczy umożliwiających pełne wykorzystanie oprogramowania bez ograniczeń (łącznie z przeglądarką zakłóceń);</w:t>
      </w:r>
    </w:p>
    <w:p w14:paraId="4D9357A2"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zabezpieczenie powinno posiadać 4 banki nastaw. Wybór banku nastaw powinien być możliwy programowo z panelu zabezpieczenia lub zewnętrznie poprzez łącze inżynierskie;</w:t>
      </w:r>
    </w:p>
    <w:p w14:paraId="2895C789"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zgodne z wymogami norm IEC62443-2-4 oraz IEC62443-3-3;</w:t>
      </w:r>
    </w:p>
    <w:p w14:paraId="1514898C"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zabezpieczenie powinno prawidłowo pracować w zakresie częstotliwości 47-52 </w:t>
      </w:r>
      <w:proofErr w:type="spellStart"/>
      <w:r w:rsidRPr="00DF779F">
        <w:rPr>
          <w:rFonts w:asciiTheme="minorHAnsi" w:hAnsiTheme="minorHAnsi" w:cstheme="minorHAnsi"/>
          <w:sz w:val="22"/>
          <w:szCs w:val="22"/>
        </w:rPr>
        <w:t>Hz</w:t>
      </w:r>
      <w:proofErr w:type="spellEnd"/>
      <w:r w:rsidRPr="00DF779F">
        <w:rPr>
          <w:rFonts w:asciiTheme="minorHAnsi" w:hAnsiTheme="minorHAnsi" w:cstheme="minorHAnsi"/>
          <w:sz w:val="22"/>
          <w:szCs w:val="22"/>
        </w:rPr>
        <w:t>;</w:t>
      </w:r>
    </w:p>
    <w:p w14:paraId="4FED6ADE"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napięcie zasilania 220 V DC. Wymagana ciągłość i pewność pracy zabezpieczeń przy zmianach napięcia zasilania w granicach (0,8-1,1)</w:t>
      </w:r>
      <w:proofErr w:type="spellStart"/>
      <w:r w:rsidRPr="00DF779F">
        <w:rPr>
          <w:rFonts w:asciiTheme="minorHAnsi" w:hAnsiTheme="minorHAnsi" w:cstheme="minorHAnsi"/>
          <w:sz w:val="22"/>
          <w:szCs w:val="22"/>
        </w:rPr>
        <w:t>Ua</w:t>
      </w:r>
      <w:proofErr w:type="spellEnd"/>
      <w:r w:rsidRPr="00DF779F">
        <w:rPr>
          <w:rFonts w:asciiTheme="minorHAnsi" w:hAnsiTheme="minorHAnsi" w:cstheme="minorHAnsi"/>
          <w:sz w:val="22"/>
          <w:szCs w:val="22"/>
        </w:rPr>
        <w:t>;</w:t>
      </w:r>
    </w:p>
    <w:p w14:paraId="6229AA87"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napięcie pomiarowe 100 V AC;</w:t>
      </w:r>
    </w:p>
    <w:p w14:paraId="737FDBC0"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prąd znamionowy 5 A. Przekaźnik powinien być przystosowany również do prądu pomiarowego 1 A bez konieczności wymiany pakietu transformatorów wejściowych (wybór programowy);</w:t>
      </w:r>
    </w:p>
    <w:p w14:paraId="0B1E455F"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wyposażone minimum w 3 porty: dwa (IEC60870-5-103 lub DNP 3.0) do współpracy z systemem nadrzędnym i do łącza inżynierskiego, trzeci RS232-do komunikacji lokalnej;</w:t>
      </w:r>
    </w:p>
    <w:p w14:paraId="2358014A"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muszą posiadać zaimplementowany protokół komunikacyjny IEC 61850, który można będzie wykorzystać przy wprowadzaniu nowych rozwiązań w obrębie stacji;</w:t>
      </w:r>
    </w:p>
    <w:p w14:paraId="02363B12"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wyposażone w rejestratory zdarzeń i zakłóceń, rejestrujące stany wewnętrzne oraz doprowadzone sygnały zewnętrzne. W ofercie należy podać parametry rejestratorów;</w:t>
      </w:r>
    </w:p>
    <w:p w14:paraId="7584C414"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odporność na błędy pomiarowe wynikające ze stanów przejściowych w pojemnościowych przekładnikach pomiarowych;</w:t>
      </w:r>
    </w:p>
    <w:p w14:paraId="0163295C"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wyświetlania na ekranie (z możliwością programowego wyboru) parametrów roboczych (np. napięć fazowych, przewodowych prądów lub innych parametrów);</w:t>
      </w:r>
    </w:p>
    <w:p w14:paraId="54365CCD"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monitorowanie podstawowych obwodów zasilających i wykonawczych z automatycznym testowaniem;</w:t>
      </w:r>
    </w:p>
    <w:p w14:paraId="44930F06"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być wyposażone w minimum 12 diod LED dowolnie programowanych;</w:t>
      </w:r>
    </w:p>
    <w:p w14:paraId="58B4235C"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zabezpieczenia powinny posiadać programowalną logikę;</w:t>
      </w:r>
    </w:p>
    <w:p w14:paraId="11BD5385"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przyporządkowanie wejść binarnych do określonych funkcji wewnętrznych powinno być swobodnie programowalne;</w:t>
      </w:r>
    </w:p>
    <w:p w14:paraId="2739D9A7"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czułość wejść sygnalizacyjnych w zakresie 160-260 V;</w:t>
      </w:r>
    </w:p>
    <w:p w14:paraId="715FA851"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dostęp do konfigurowania funkcji operacyjnych powinien być możliwy po użyciu hasła;</w:t>
      </w:r>
    </w:p>
    <w:p w14:paraId="7DC924A8"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zabezpieczenia muszą współpracować z systemem nadzoru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w:t>
      </w:r>
    </w:p>
    <w:p w14:paraId="28903D57"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 xml:space="preserve">dla każdego zabezpieczenia należy zastosować dedykowana listwę </w:t>
      </w:r>
      <w:proofErr w:type="spellStart"/>
      <w:r w:rsidRPr="00DF779F">
        <w:rPr>
          <w:rFonts w:asciiTheme="minorHAnsi" w:hAnsiTheme="minorHAnsi" w:cstheme="minorHAnsi"/>
          <w:sz w:val="22"/>
          <w:szCs w:val="22"/>
        </w:rPr>
        <w:t>kontrolno</w:t>
      </w:r>
      <w:proofErr w:type="spellEnd"/>
      <w:r w:rsidRPr="00DF779F">
        <w:rPr>
          <w:rFonts w:asciiTheme="minorHAnsi" w:hAnsiTheme="minorHAnsi" w:cstheme="minorHAnsi"/>
          <w:sz w:val="22"/>
          <w:szCs w:val="22"/>
        </w:rPr>
        <w:t xml:space="preserve"> pomiarową;</w:t>
      </w:r>
    </w:p>
    <w:p w14:paraId="408DF345" w14:textId="77777777" w:rsidR="00271919" w:rsidRPr="00DF779F" w:rsidRDefault="00271919" w:rsidP="00B628F4">
      <w:pPr>
        <w:pStyle w:val="Akapitzlist"/>
        <w:widowControl w:val="0"/>
        <w:numPr>
          <w:ilvl w:val="0"/>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telemechanika z nowego pola zrealizowana będzie:</w:t>
      </w:r>
    </w:p>
    <w:p w14:paraId="20BA6E8B" w14:textId="77777777" w:rsidR="00271919" w:rsidRPr="00DF779F" w:rsidRDefault="00271919" w:rsidP="00B628F4">
      <w:pPr>
        <w:pStyle w:val="Akapitzlist"/>
        <w:widowControl w:val="0"/>
        <w:numPr>
          <w:ilvl w:val="1"/>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sterowania łącznikami oraz odwzorowania łączników w polach – przez karty we/wy w MST2,</w:t>
      </w:r>
    </w:p>
    <w:p w14:paraId="2B2F811F" w14:textId="77777777" w:rsidR="00271919" w:rsidRPr="00DF779F" w:rsidRDefault="00271919" w:rsidP="00B628F4">
      <w:pPr>
        <w:pStyle w:val="Akapitzlist"/>
        <w:widowControl w:val="0"/>
        <w:numPr>
          <w:ilvl w:val="1"/>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działanie zabezpieczeń – przez karty we/wy w MST2 (lub protokół komunikacyjny IEC60870-5-103 lub DNP 3.0),</w:t>
      </w:r>
    </w:p>
    <w:p w14:paraId="587945B2" w14:textId="77777777" w:rsidR="00271919" w:rsidRPr="00DF779F" w:rsidRDefault="00271919" w:rsidP="00B628F4">
      <w:pPr>
        <w:pStyle w:val="Akapitzlist"/>
        <w:widowControl w:val="0"/>
        <w:numPr>
          <w:ilvl w:val="1"/>
          <w:numId w:val="46"/>
        </w:numPr>
        <w:autoSpaceDE w:val="0"/>
        <w:autoSpaceDN w:val="0"/>
        <w:adjustRightInd w:val="0"/>
        <w:spacing w:before="0" w:after="0"/>
        <w:ind w:hanging="357"/>
        <w:rPr>
          <w:rFonts w:asciiTheme="minorHAnsi" w:hAnsiTheme="minorHAnsi" w:cstheme="minorHAnsi"/>
          <w:sz w:val="22"/>
          <w:szCs w:val="22"/>
        </w:rPr>
      </w:pPr>
      <w:r w:rsidRPr="00DF779F">
        <w:rPr>
          <w:rFonts w:asciiTheme="minorHAnsi" w:hAnsiTheme="minorHAnsi" w:cstheme="minorHAnsi"/>
          <w:sz w:val="22"/>
          <w:szCs w:val="22"/>
        </w:rPr>
        <w:t>pomiary w polach (prądy, napięcia, moce czynna i bierna) przez protokół komunikacyjny IEC60870-5-103 lub DNP 3.0 z zabezpieczeń.</w:t>
      </w:r>
    </w:p>
    <w:p w14:paraId="3F73A9C9"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81" w:name="_Toc116902491"/>
      <w:r w:rsidRPr="00FD724B">
        <w:rPr>
          <w:rFonts w:asciiTheme="minorHAnsi" w:hAnsiTheme="minorHAnsi" w:cstheme="minorHAnsi"/>
          <w:b/>
          <w:bCs/>
          <w:i/>
          <w:iCs/>
          <w:snapToGrid w:val="0"/>
          <w:sz w:val="22"/>
          <w:szCs w:val="22"/>
          <w:u w:val="single"/>
        </w:rPr>
        <w:t>Zabezpieczenie odległościowe:</w:t>
      </w:r>
      <w:bookmarkEnd w:id="81"/>
    </w:p>
    <w:p w14:paraId="534561FB" w14:textId="77777777" w:rsidR="00271919" w:rsidRPr="00DF779F" w:rsidRDefault="00271919" w:rsidP="00271919">
      <w:pPr>
        <w:widowControl w:val="0"/>
        <w:autoSpaceDE w:val="0"/>
        <w:autoSpaceDN w:val="0"/>
        <w:adjustRightInd w:val="0"/>
        <w:spacing w:before="0" w:after="0"/>
        <w:ind w:left="0" w:firstLine="340"/>
        <w:rPr>
          <w:rFonts w:asciiTheme="minorHAnsi" w:hAnsiTheme="minorHAnsi" w:cstheme="minorHAnsi"/>
          <w:snapToGrid w:val="0"/>
          <w:sz w:val="22"/>
          <w:szCs w:val="22"/>
        </w:rPr>
      </w:pPr>
      <w:bookmarkStart w:id="82" w:name="_Toc116902492"/>
      <w:r w:rsidRPr="00DF779F">
        <w:rPr>
          <w:rFonts w:asciiTheme="minorHAnsi" w:hAnsiTheme="minorHAnsi" w:cstheme="minorHAnsi"/>
          <w:snapToGrid w:val="0"/>
          <w:sz w:val="22"/>
          <w:szCs w:val="22"/>
        </w:rPr>
        <w:t xml:space="preserve">Zastosować zabezpieczenie spełniające następujące wymagania (preferowane zabezpieczenie </w:t>
      </w:r>
      <w:proofErr w:type="spellStart"/>
      <w:r w:rsidRPr="00DF779F">
        <w:rPr>
          <w:rFonts w:asciiTheme="minorHAnsi" w:hAnsiTheme="minorHAnsi" w:cstheme="minorHAnsi"/>
          <w:snapToGrid w:val="0"/>
          <w:sz w:val="22"/>
          <w:szCs w:val="22"/>
        </w:rPr>
        <w:t>MiCOM</w:t>
      </w:r>
      <w:proofErr w:type="spellEnd"/>
      <w:r w:rsidRPr="00DF779F">
        <w:rPr>
          <w:rFonts w:asciiTheme="minorHAnsi" w:hAnsiTheme="minorHAnsi" w:cstheme="minorHAnsi"/>
          <w:snapToGrid w:val="0"/>
          <w:sz w:val="22"/>
          <w:szCs w:val="22"/>
        </w:rPr>
        <w:t> P437 lub równoważne):</w:t>
      </w:r>
      <w:bookmarkEnd w:id="82"/>
    </w:p>
    <w:p w14:paraId="27CCAB7C"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83" w:name="_Toc116902493"/>
      <w:r w:rsidRPr="00DF779F">
        <w:rPr>
          <w:rFonts w:asciiTheme="minorHAnsi" w:hAnsiTheme="minorHAnsi" w:cstheme="minorHAnsi"/>
          <w:sz w:val="22"/>
          <w:szCs w:val="22"/>
        </w:rPr>
        <w:t>funkcja zabezpieczenia odległościowego:</w:t>
      </w:r>
      <w:bookmarkEnd w:id="83"/>
    </w:p>
    <w:p w14:paraId="71DB6A98"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84" w:name="_Toc116902494"/>
      <w:proofErr w:type="spellStart"/>
      <w:r w:rsidRPr="00DF779F">
        <w:rPr>
          <w:rFonts w:asciiTheme="minorHAnsi" w:hAnsiTheme="minorHAnsi" w:cstheme="minorHAnsi"/>
          <w:sz w:val="22"/>
          <w:szCs w:val="22"/>
        </w:rPr>
        <w:t>pełnoschematowe</w:t>
      </w:r>
      <w:proofErr w:type="spellEnd"/>
      <w:r w:rsidRPr="00DF779F">
        <w:rPr>
          <w:rFonts w:asciiTheme="minorHAnsi" w:hAnsiTheme="minorHAnsi" w:cstheme="minorHAnsi"/>
          <w:sz w:val="22"/>
          <w:szCs w:val="22"/>
        </w:rPr>
        <w:t xml:space="preserve"> 5 strefowe zabezpieczenie odległościowe (z niezależnymi logikami </w:t>
      </w:r>
      <w:proofErr w:type="spellStart"/>
      <w:r w:rsidRPr="00DF779F">
        <w:rPr>
          <w:rFonts w:asciiTheme="minorHAnsi" w:hAnsiTheme="minorHAnsi" w:cstheme="minorHAnsi"/>
          <w:sz w:val="22"/>
          <w:szCs w:val="22"/>
        </w:rPr>
        <w:t>schematowymi</w:t>
      </w:r>
      <w:proofErr w:type="spellEnd"/>
      <w:r w:rsidRPr="00DF779F">
        <w:rPr>
          <w:rFonts w:asciiTheme="minorHAnsi" w:hAnsiTheme="minorHAnsi" w:cstheme="minorHAnsi"/>
          <w:sz w:val="22"/>
          <w:szCs w:val="22"/>
        </w:rPr>
        <w:t xml:space="preserve"> dla różnych rodzajów zwarć)</w:t>
      </w:r>
      <w:bookmarkEnd w:id="84"/>
      <w:r w:rsidRPr="00DF779F">
        <w:rPr>
          <w:rFonts w:asciiTheme="minorHAnsi" w:hAnsiTheme="minorHAnsi" w:cstheme="minorHAnsi"/>
          <w:sz w:val="22"/>
          <w:szCs w:val="22"/>
        </w:rPr>
        <w:t>,</w:t>
      </w:r>
    </w:p>
    <w:p w14:paraId="09952C0E"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85" w:name="_Toc116902495"/>
      <w:r w:rsidRPr="00DF779F">
        <w:rPr>
          <w:rFonts w:asciiTheme="minorHAnsi" w:hAnsiTheme="minorHAnsi" w:cstheme="minorHAnsi"/>
          <w:sz w:val="22"/>
          <w:szCs w:val="22"/>
        </w:rPr>
        <w:t>możliwość uwspółbieżnienia z przyzwoleniem przy pracy z wydłużonym lub skróconym zasięgiem, lub z przyśpieszeniem strefy, lub w układzie blokowania,</w:t>
      </w:r>
      <w:bookmarkEnd w:id="85"/>
    </w:p>
    <w:p w14:paraId="3AC7B8AD"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86" w:name="_Toc116902496"/>
      <w:r w:rsidRPr="00DF779F">
        <w:rPr>
          <w:rFonts w:asciiTheme="minorHAnsi" w:hAnsiTheme="minorHAnsi" w:cstheme="minorHAnsi"/>
          <w:sz w:val="22"/>
          <w:szCs w:val="22"/>
        </w:rPr>
        <w:t>jednoczesny pomiar zwarć wielofazowych i doziemnych,</w:t>
      </w:r>
      <w:bookmarkEnd w:id="86"/>
    </w:p>
    <w:p w14:paraId="1B04A967"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87" w:name="_Toc116902497"/>
      <w:r w:rsidRPr="00DF779F">
        <w:rPr>
          <w:rFonts w:asciiTheme="minorHAnsi" w:hAnsiTheme="minorHAnsi" w:cstheme="minorHAnsi"/>
          <w:sz w:val="22"/>
          <w:szCs w:val="22"/>
        </w:rPr>
        <w:t>wyłączanie trójfazowe z automatyką SPZ.</w:t>
      </w:r>
      <w:bookmarkEnd w:id="87"/>
      <w:r w:rsidRPr="00DF779F">
        <w:rPr>
          <w:rFonts w:asciiTheme="minorHAnsi" w:hAnsiTheme="minorHAnsi" w:cstheme="minorHAnsi"/>
          <w:sz w:val="22"/>
          <w:szCs w:val="22"/>
        </w:rPr>
        <w:t>,</w:t>
      </w:r>
    </w:p>
    <w:p w14:paraId="1CE3A51E"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88" w:name="_Toc116902498"/>
      <w:r w:rsidRPr="00DF779F">
        <w:rPr>
          <w:rFonts w:asciiTheme="minorHAnsi" w:hAnsiTheme="minorHAnsi" w:cstheme="minorHAnsi"/>
          <w:sz w:val="22"/>
          <w:szCs w:val="22"/>
        </w:rPr>
        <w:t xml:space="preserve">przekaźnik nie powinien działać przy zwarciach "z tyłu" (z wyjątkiem działania strefy wstecznej) nawet, jeśli napięcie pomiarowe zasilające przekaźnik spadnie do zera we wszystkich trzech fazach </w:t>
      </w:r>
      <w:r w:rsidRPr="00DF779F">
        <w:rPr>
          <w:rFonts w:asciiTheme="minorHAnsi" w:hAnsiTheme="minorHAnsi" w:cstheme="minorHAnsi"/>
          <w:sz w:val="22"/>
          <w:szCs w:val="22"/>
        </w:rPr>
        <w:lastRenderedPageBreak/>
        <w:t>lub pojawią się przejściowe zakłócenia, np. w wyniku stosowania przekładników napięciowych pojemnościowych, etc.</w:t>
      </w:r>
      <w:bookmarkEnd w:id="88"/>
      <w:r w:rsidRPr="00DF779F">
        <w:rPr>
          <w:rFonts w:asciiTheme="minorHAnsi" w:hAnsiTheme="minorHAnsi" w:cstheme="minorHAnsi"/>
          <w:sz w:val="22"/>
          <w:szCs w:val="22"/>
        </w:rPr>
        <w:t>;</w:t>
      </w:r>
    </w:p>
    <w:p w14:paraId="64423B6D"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89" w:name="_Toc116902499"/>
      <w:r w:rsidRPr="00DF779F">
        <w:rPr>
          <w:rFonts w:asciiTheme="minorHAnsi" w:hAnsiTheme="minorHAnsi" w:cstheme="minorHAnsi"/>
          <w:sz w:val="22"/>
          <w:szCs w:val="22"/>
        </w:rPr>
        <w:t>funkcja kontroli synchronizmu</w:t>
      </w:r>
      <w:bookmarkEnd w:id="89"/>
      <w:r w:rsidRPr="00DF779F">
        <w:rPr>
          <w:rFonts w:asciiTheme="minorHAnsi" w:hAnsiTheme="minorHAnsi" w:cstheme="minorHAnsi"/>
          <w:sz w:val="22"/>
          <w:szCs w:val="22"/>
        </w:rPr>
        <w:t>;</w:t>
      </w:r>
    </w:p>
    <w:p w14:paraId="5BEEA208"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0" w:name="_Toc116902500"/>
      <w:r w:rsidRPr="00DF779F">
        <w:rPr>
          <w:rFonts w:asciiTheme="minorHAnsi" w:hAnsiTheme="minorHAnsi" w:cstheme="minorHAnsi"/>
          <w:sz w:val="22"/>
          <w:szCs w:val="22"/>
        </w:rPr>
        <w:t>funkcja LRW</w:t>
      </w:r>
      <w:bookmarkEnd w:id="90"/>
      <w:r w:rsidRPr="00DF779F">
        <w:rPr>
          <w:rFonts w:asciiTheme="minorHAnsi" w:hAnsiTheme="minorHAnsi" w:cstheme="minorHAnsi"/>
          <w:sz w:val="22"/>
          <w:szCs w:val="22"/>
        </w:rPr>
        <w:t>;</w:t>
      </w:r>
    </w:p>
    <w:p w14:paraId="6CCAFA26"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1" w:name="_Toc116902501"/>
      <w:r w:rsidRPr="00DF779F">
        <w:rPr>
          <w:rFonts w:asciiTheme="minorHAnsi" w:hAnsiTheme="minorHAnsi" w:cstheme="minorHAnsi"/>
          <w:sz w:val="22"/>
          <w:szCs w:val="22"/>
        </w:rPr>
        <w:t>funkcja SPZ – jednokrotny;</w:t>
      </w:r>
      <w:bookmarkEnd w:id="91"/>
    </w:p>
    <w:p w14:paraId="41EB7D90"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2" w:name="_Toc116902502"/>
      <w:r w:rsidRPr="00DF779F">
        <w:rPr>
          <w:rFonts w:asciiTheme="minorHAnsi" w:hAnsiTheme="minorHAnsi" w:cstheme="minorHAnsi"/>
          <w:sz w:val="22"/>
          <w:szCs w:val="22"/>
        </w:rPr>
        <w:t>funkcja załączenia na zwarcie</w:t>
      </w:r>
      <w:bookmarkEnd w:id="92"/>
      <w:r w:rsidRPr="00DF779F">
        <w:rPr>
          <w:rFonts w:asciiTheme="minorHAnsi" w:hAnsiTheme="minorHAnsi" w:cstheme="minorHAnsi"/>
          <w:sz w:val="22"/>
          <w:szCs w:val="22"/>
        </w:rPr>
        <w:t>;</w:t>
      </w:r>
    </w:p>
    <w:p w14:paraId="023CDD99"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3" w:name="_Toc116902503"/>
      <w:r w:rsidRPr="00DF779F">
        <w:rPr>
          <w:rFonts w:asciiTheme="minorHAnsi" w:hAnsiTheme="minorHAnsi" w:cstheme="minorHAnsi"/>
          <w:sz w:val="22"/>
          <w:szCs w:val="22"/>
        </w:rPr>
        <w:t>funkcja kontroli obwodów pomiarowych</w:t>
      </w:r>
      <w:bookmarkEnd w:id="93"/>
      <w:r w:rsidRPr="00DF779F">
        <w:rPr>
          <w:rFonts w:asciiTheme="minorHAnsi" w:hAnsiTheme="minorHAnsi" w:cstheme="minorHAnsi"/>
          <w:sz w:val="22"/>
          <w:szCs w:val="22"/>
        </w:rPr>
        <w:t>:</w:t>
      </w:r>
    </w:p>
    <w:p w14:paraId="740DF9B7"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94" w:name="_Toc116902504"/>
      <w:r w:rsidRPr="00DF779F">
        <w:rPr>
          <w:rFonts w:asciiTheme="minorHAnsi" w:hAnsiTheme="minorHAnsi" w:cstheme="minorHAnsi"/>
          <w:sz w:val="22"/>
          <w:szCs w:val="22"/>
        </w:rPr>
        <w:t>w przypadku uszkodzenia obwodów napięciowych blokada funkcji odległościowej i działanie jako zabezpieczenie nadprądowe</w:t>
      </w:r>
      <w:bookmarkEnd w:id="94"/>
      <w:r w:rsidRPr="00DF779F">
        <w:rPr>
          <w:rFonts w:asciiTheme="minorHAnsi" w:hAnsiTheme="minorHAnsi" w:cstheme="minorHAnsi"/>
          <w:sz w:val="22"/>
          <w:szCs w:val="22"/>
        </w:rPr>
        <w:t>,</w:t>
      </w:r>
    </w:p>
    <w:p w14:paraId="5731D818"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95" w:name="_Toc116902505"/>
      <w:r w:rsidRPr="00DF779F">
        <w:rPr>
          <w:rFonts w:asciiTheme="minorHAnsi" w:hAnsiTheme="minorHAnsi" w:cstheme="minorHAnsi"/>
          <w:sz w:val="22"/>
          <w:szCs w:val="22"/>
        </w:rPr>
        <w:t>samoczynny powrót zabezpieczenie odległościowego po ustąpieniu uszkodzenia obwodów napięciowych</w:t>
      </w:r>
      <w:bookmarkEnd w:id="95"/>
      <w:r w:rsidRPr="00DF779F">
        <w:rPr>
          <w:rFonts w:asciiTheme="minorHAnsi" w:hAnsiTheme="minorHAnsi" w:cstheme="minorHAnsi"/>
          <w:sz w:val="22"/>
          <w:szCs w:val="22"/>
        </w:rPr>
        <w:t>;</w:t>
      </w:r>
    </w:p>
    <w:p w14:paraId="2E3BEFCE"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6" w:name="_Toc116902506"/>
      <w:r w:rsidRPr="00DF779F">
        <w:rPr>
          <w:rFonts w:asciiTheme="minorHAnsi" w:hAnsiTheme="minorHAnsi" w:cstheme="minorHAnsi"/>
          <w:sz w:val="22"/>
          <w:szCs w:val="22"/>
        </w:rPr>
        <w:t>lokalizator miejsca zwarcia</w:t>
      </w:r>
      <w:bookmarkEnd w:id="96"/>
      <w:r w:rsidRPr="00DF779F">
        <w:rPr>
          <w:rFonts w:asciiTheme="minorHAnsi" w:hAnsiTheme="minorHAnsi" w:cstheme="minorHAnsi"/>
          <w:sz w:val="22"/>
          <w:szCs w:val="22"/>
        </w:rPr>
        <w:t>;</w:t>
      </w:r>
    </w:p>
    <w:p w14:paraId="4C6B7891"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97" w:name="_Toc116902507"/>
      <w:r w:rsidRPr="00DF779F">
        <w:rPr>
          <w:rFonts w:asciiTheme="minorHAnsi" w:hAnsiTheme="minorHAnsi" w:cstheme="minorHAnsi"/>
          <w:sz w:val="22"/>
          <w:szCs w:val="22"/>
        </w:rPr>
        <w:t>funkcje dodatkowe:</w:t>
      </w:r>
      <w:bookmarkEnd w:id="97"/>
      <w:r w:rsidRPr="00DF779F">
        <w:rPr>
          <w:rFonts w:asciiTheme="minorHAnsi" w:hAnsiTheme="minorHAnsi" w:cstheme="minorHAnsi"/>
          <w:sz w:val="22"/>
          <w:szCs w:val="22"/>
        </w:rPr>
        <w:t>;</w:t>
      </w:r>
    </w:p>
    <w:p w14:paraId="51FD3E7F"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98" w:name="_Toc116902508"/>
      <w:r w:rsidRPr="00DF779F">
        <w:rPr>
          <w:rFonts w:asciiTheme="minorHAnsi" w:hAnsiTheme="minorHAnsi" w:cstheme="minorHAnsi"/>
          <w:sz w:val="22"/>
          <w:szCs w:val="22"/>
        </w:rPr>
        <w:t>4 grupy nastaw</w:t>
      </w:r>
      <w:bookmarkEnd w:id="98"/>
      <w:r w:rsidRPr="00DF779F">
        <w:rPr>
          <w:rFonts w:asciiTheme="minorHAnsi" w:hAnsiTheme="minorHAnsi" w:cstheme="minorHAnsi"/>
          <w:sz w:val="22"/>
          <w:szCs w:val="22"/>
        </w:rPr>
        <w:t>,</w:t>
      </w:r>
    </w:p>
    <w:p w14:paraId="7B537695"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99" w:name="_Toc116902509"/>
      <w:r w:rsidRPr="00DF779F">
        <w:rPr>
          <w:rFonts w:asciiTheme="minorHAnsi" w:hAnsiTheme="minorHAnsi" w:cstheme="minorHAnsi"/>
          <w:sz w:val="22"/>
          <w:szCs w:val="22"/>
        </w:rPr>
        <w:t>pomiary: U, I, P, Q</w:t>
      </w:r>
      <w:bookmarkEnd w:id="99"/>
      <w:r w:rsidRPr="00DF779F">
        <w:rPr>
          <w:rFonts w:asciiTheme="minorHAnsi" w:hAnsiTheme="minorHAnsi" w:cstheme="minorHAnsi"/>
          <w:sz w:val="22"/>
          <w:szCs w:val="22"/>
        </w:rPr>
        <w:t>,</w:t>
      </w:r>
    </w:p>
    <w:p w14:paraId="4BF93A46"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00" w:name="_Toc116902510"/>
      <w:r w:rsidRPr="00DF779F">
        <w:rPr>
          <w:rFonts w:asciiTheme="minorHAnsi" w:hAnsiTheme="minorHAnsi" w:cstheme="minorHAnsi"/>
          <w:sz w:val="22"/>
          <w:szCs w:val="22"/>
        </w:rPr>
        <w:t>rejestracja zdarzeń min. 500 zdarzeń,</w:t>
      </w:r>
      <w:bookmarkEnd w:id="100"/>
    </w:p>
    <w:p w14:paraId="333D6AEB"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01" w:name="_Toc116902511"/>
      <w:r w:rsidRPr="00DF779F">
        <w:rPr>
          <w:rFonts w:asciiTheme="minorHAnsi" w:hAnsiTheme="minorHAnsi" w:cstheme="minorHAnsi"/>
          <w:sz w:val="22"/>
          <w:szCs w:val="22"/>
        </w:rPr>
        <w:t>rejestracja przebiegów zakłóceń (minimum: 8 przebiegów analogowych, 20 przebiegów dwustanowych, 8 rejestracji po 5 sek.), zapis rejestracji w standardzie COMTRADE;</w:t>
      </w:r>
      <w:bookmarkEnd w:id="101"/>
    </w:p>
    <w:p w14:paraId="563B8AE4"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102" w:name="_Toc116902512"/>
      <w:r w:rsidRPr="00DF779F">
        <w:rPr>
          <w:rFonts w:asciiTheme="minorHAnsi" w:hAnsiTheme="minorHAnsi" w:cstheme="minorHAnsi"/>
          <w:sz w:val="22"/>
          <w:szCs w:val="22"/>
        </w:rPr>
        <w:t>wejścia analogowe:</w:t>
      </w:r>
      <w:bookmarkEnd w:id="102"/>
    </w:p>
    <w:p w14:paraId="454C3EA5"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103" w:name="_Toc116902513"/>
      <w:r w:rsidRPr="00DF779F">
        <w:rPr>
          <w:rFonts w:asciiTheme="minorHAnsi" w:hAnsiTheme="minorHAnsi" w:cstheme="minorHAnsi"/>
          <w:sz w:val="22"/>
          <w:szCs w:val="22"/>
        </w:rPr>
        <w:t>4 x I (IL1, IL2, IL3, I0)</w:t>
      </w:r>
      <w:bookmarkEnd w:id="103"/>
    </w:p>
    <w:p w14:paraId="190C1669"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04" w:name="_Toc116902514"/>
      <w:r w:rsidRPr="00DF779F">
        <w:rPr>
          <w:rFonts w:asciiTheme="minorHAnsi" w:hAnsiTheme="minorHAnsi" w:cstheme="minorHAnsi"/>
          <w:sz w:val="22"/>
          <w:szCs w:val="22"/>
        </w:rPr>
        <w:t>4 x U (UL1, UL2, UL3, U0)</w:t>
      </w:r>
      <w:bookmarkEnd w:id="104"/>
      <w:r w:rsidRPr="00DF779F">
        <w:rPr>
          <w:rFonts w:asciiTheme="minorHAnsi" w:hAnsiTheme="minorHAnsi" w:cstheme="minorHAnsi"/>
          <w:sz w:val="22"/>
          <w:szCs w:val="22"/>
        </w:rPr>
        <w:t>,</w:t>
      </w:r>
    </w:p>
    <w:p w14:paraId="7FC48525"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05" w:name="_Toc116902515"/>
      <w:r w:rsidRPr="00DF779F">
        <w:rPr>
          <w:rFonts w:asciiTheme="minorHAnsi" w:hAnsiTheme="minorHAnsi" w:cstheme="minorHAnsi"/>
          <w:sz w:val="22"/>
          <w:szCs w:val="22"/>
        </w:rPr>
        <w:t>Wejścia binarne: min 25 szt.</w:t>
      </w:r>
      <w:bookmarkEnd w:id="105"/>
      <w:r w:rsidRPr="00DF779F">
        <w:rPr>
          <w:rFonts w:asciiTheme="minorHAnsi" w:hAnsiTheme="minorHAnsi" w:cstheme="minorHAnsi"/>
          <w:sz w:val="22"/>
          <w:szCs w:val="22"/>
        </w:rPr>
        <w:t>;</w:t>
      </w:r>
    </w:p>
    <w:p w14:paraId="3134D5D4"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106" w:name="_Toc116902516"/>
      <w:r w:rsidRPr="00DF779F">
        <w:rPr>
          <w:rFonts w:asciiTheme="minorHAnsi" w:hAnsiTheme="minorHAnsi" w:cstheme="minorHAnsi"/>
          <w:sz w:val="22"/>
          <w:szCs w:val="22"/>
        </w:rPr>
        <w:t>wyjścia przekaźnikowe: min 20 szt. w tym OW1, OW2, ZAŁ, WATCH DOG;</w:t>
      </w:r>
      <w:bookmarkEnd w:id="106"/>
    </w:p>
    <w:p w14:paraId="52FBE362"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107" w:name="_Toc116902517"/>
      <w:r w:rsidRPr="00DF779F">
        <w:rPr>
          <w:rFonts w:asciiTheme="minorHAnsi" w:hAnsiTheme="minorHAnsi" w:cstheme="minorHAnsi"/>
          <w:sz w:val="22"/>
          <w:szCs w:val="22"/>
        </w:rPr>
        <w:t>napięcie zasilania, sterowania i sygnalizacji 220 V DC;</w:t>
      </w:r>
      <w:bookmarkEnd w:id="107"/>
    </w:p>
    <w:p w14:paraId="244EF760" w14:textId="77777777" w:rsidR="00271919" w:rsidRPr="00DF779F" w:rsidRDefault="00271919" w:rsidP="00B628F4">
      <w:pPr>
        <w:pStyle w:val="Akapitzlist"/>
        <w:widowControl w:val="0"/>
        <w:numPr>
          <w:ilvl w:val="0"/>
          <w:numId w:val="47"/>
        </w:numPr>
        <w:autoSpaceDE w:val="0"/>
        <w:autoSpaceDN w:val="0"/>
        <w:adjustRightInd w:val="0"/>
        <w:spacing w:before="0" w:after="0"/>
        <w:rPr>
          <w:rFonts w:asciiTheme="minorHAnsi" w:hAnsiTheme="minorHAnsi" w:cstheme="minorHAnsi"/>
          <w:sz w:val="22"/>
          <w:szCs w:val="22"/>
        </w:rPr>
      </w:pPr>
      <w:bookmarkStart w:id="108" w:name="_Toc116902518"/>
      <w:r w:rsidRPr="00DF779F">
        <w:rPr>
          <w:rFonts w:asciiTheme="minorHAnsi" w:hAnsiTheme="minorHAnsi" w:cstheme="minorHAnsi"/>
          <w:sz w:val="22"/>
          <w:szCs w:val="22"/>
        </w:rPr>
        <w:t>porty komunikacji:</w:t>
      </w:r>
      <w:bookmarkEnd w:id="108"/>
    </w:p>
    <w:p w14:paraId="0474F060"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09" w:name="_Toc116902519"/>
      <w:r w:rsidRPr="00DF779F">
        <w:rPr>
          <w:rFonts w:asciiTheme="minorHAnsi" w:hAnsiTheme="minorHAnsi" w:cstheme="minorHAnsi"/>
          <w:sz w:val="22"/>
          <w:szCs w:val="22"/>
        </w:rPr>
        <w:t>telemechanika: łącze światłowodowe RS485 – protokół: IEC60870-5-103 lub Ethernet protokół IEC 61850</w:t>
      </w:r>
      <w:bookmarkEnd w:id="109"/>
      <w:r w:rsidRPr="00DF779F">
        <w:rPr>
          <w:rFonts w:asciiTheme="minorHAnsi" w:hAnsiTheme="minorHAnsi" w:cstheme="minorHAnsi"/>
          <w:sz w:val="22"/>
          <w:szCs w:val="22"/>
        </w:rPr>
        <w:t>,</w:t>
      </w:r>
    </w:p>
    <w:p w14:paraId="153645D4"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10" w:name="_Toc116902520"/>
      <w:r w:rsidRPr="00DF779F">
        <w:rPr>
          <w:rFonts w:asciiTheme="minorHAnsi" w:hAnsiTheme="minorHAnsi" w:cstheme="minorHAnsi"/>
          <w:sz w:val="22"/>
          <w:szCs w:val="22"/>
        </w:rPr>
        <w:t>kanał inżynierski: RS485/RE232 lub Ethernet światłowód lub skrętka ekranowana</w:t>
      </w:r>
      <w:bookmarkEnd w:id="110"/>
      <w:r w:rsidRPr="00DF779F">
        <w:rPr>
          <w:rFonts w:asciiTheme="minorHAnsi" w:hAnsiTheme="minorHAnsi" w:cstheme="minorHAnsi"/>
          <w:sz w:val="22"/>
          <w:szCs w:val="22"/>
        </w:rPr>
        <w:t>,</w:t>
      </w:r>
    </w:p>
    <w:p w14:paraId="5E219D45" w14:textId="77777777" w:rsidR="00271919" w:rsidRPr="00DF779F" w:rsidRDefault="00271919" w:rsidP="00B628F4">
      <w:pPr>
        <w:pStyle w:val="Akapitzlist"/>
        <w:widowControl w:val="0"/>
        <w:numPr>
          <w:ilvl w:val="1"/>
          <w:numId w:val="47"/>
        </w:numPr>
        <w:autoSpaceDE w:val="0"/>
        <w:autoSpaceDN w:val="0"/>
        <w:adjustRightInd w:val="0"/>
        <w:spacing w:before="0" w:after="0"/>
        <w:rPr>
          <w:rFonts w:asciiTheme="minorHAnsi" w:hAnsiTheme="minorHAnsi" w:cstheme="minorHAnsi"/>
          <w:sz w:val="22"/>
          <w:szCs w:val="22"/>
        </w:rPr>
      </w:pPr>
      <w:bookmarkStart w:id="111" w:name="_Toc116902521"/>
      <w:r w:rsidRPr="00DF779F">
        <w:rPr>
          <w:rFonts w:asciiTheme="minorHAnsi" w:hAnsiTheme="minorHAnsi" w:cstheme="minorHAnsi"/>
          <w:sz w:val="22"/>
          <w:szCs w:val="22"/>
        </w:rPr>
        <w:t>kanał diagnostyczny do komunikacji z laptopem</w:t>
      </w:r>
      <w:bookmarkEnd w:id="111"/>
      <w:r w:rsidRPr="00DF779F">
        <w:rPr>
          <w:rFonts w:asciiTheme="minorHAnsi" w:hAnsiTheme="minorHAnsi" w:cstheme="minorHAnsi"/>
          <w:sz w:val="22"/>
          <w:szCs w:val="22"/>
        </w:rPr>
        <w:t>.</w:t>
      </w:r>
    </w:p>
    <w:p w14:paraId="4A9B564E"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112" w:name="_Toc116902522"/>
      <w:r w:rsidRPr="00FD724B">
        <w:rPr>
          <w:rFonts w:asciiTheme="minorHAnsi" w:hAnsiTheme="minorHAnsi" w:cstheme="minorHAnsi"/>
          <w:b/>
          <w:bCs/>
          <w:i/>
          <w:iCs/>
          <w:snapToGrid w:val="0"/>
          <w:sz w:val="22"/>
          <w:szCs w:val="22"/>
          <w:u w:val="single"/>
        </w:rPr>
        <w:t>Zabezpieczenie różnicowe:</w:t>
      </w:r>
      <w:bookmarkEnd w:id="112"/>
    </w:p>
    <w:p w14:paraId="444AB9F0" w14:textId="77777777" w:rsidR="00271919" w:rsidRPr="00DF779F" w:rsidRDefault="00271919" w:rsidP="00271919">
      <w:pPr>
        <w:widowControl w:val="0"/>
        <w:autoSpaceDE w:val="0"/>
        <w:autoSpaceDN w:val="0"/>
        <w:adjustRightInd w:val="0"/>
        <w:spacing w:before="0" w:after="0"/>
        <w:ind w:left="0" w:firstLine="340"/>
        <w:rPr>
          <w:rFonts w:asciiTheme="minorHAnsi" w:hAnsiTheme="minorHAnsi" w:cstheme="minorHAnsi"/>
          <w:snapToGrid w:val="0"/>
          <w:sz w:val="22"/>
          <w:szCs w:val="22"/>
        </w:rPr>
      </w:pPr>
      <w:bookmarkStart w:id="113" w:name="_Toc116902523"/>
      <w:r w:rsidRPr="00DF779F">
        <w:rPr>
          <w:rFonts w:asciiTheme="minorHAnsi" w:hAnsiTheme="minorHAnsi" w:cstheme="minorHAnsi"/>
          <w:snapToGrid w:val="0"/>
          <w:sz w:val="22"/>
          <w:szCs w:val="22"/>
        </w:rPr>
        <w:t xml:space="preserve">Zastosować zabezpieczenie spełniające następujące wymagania (preferowane zabezpieczenie </w:t>
      </w:r>
      <w:proofErr w:type="spellStart"/>
      <w:r w:rsidRPr="00DF779F">
        <w:rPr>
          <w:rFonts w:asciiTheme="minorHAnsi" w:hAnsiTheme="minorHAnsi" w:cstheme="minorHAnsi"/>
          <w:snapToGrid w:val="0"/>
          <w:sz w:val="22"/>
          <w:szCs w:val="22"/>
        </w:rPr>
        <w:t>Micom</w:t>
      </w:r>
      <w:proofErr w:type="spellEnd"/>
      <w:r w:rsidRPr="00DF779F">
        <w:rPr>
          <w:rFonts w:asciiTheme="minorHAnsi" w:hAnsiTheme="minorHAnsi" w:cstheme="minorHAnsi"/>
          <w:snapToGrid w:val="0"/>
          <w:sz w:val="22"/>
          <w:szCs w:val="22"/>
        </w:rPr>
        <w:t> P54x lub równoważne):</w:t>
      </w:r>
      <w:bookmarkEnd w:id="113"/>
    </w:p>
    <w:p w14:paraId="01CC1098"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funkcja różnicowo-prądowa:</w:t>
      </w:r>
    </w:p>
    <w:p w14:paraId="0CA559FC"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pomiar </w:t>
      </w:r>
      <w:proofErr w:type="spellStart"/>
      <w:r w:rsidRPr="00DF779F">
        <w:rPr>
          <w:rFonts w:asciiTheme="minorHAnsi" w:hAnsiTheme="minorHAnsi" w:cstheme="minorHAnsi"/>
          <w:sz w:val="22"/>
          <w:szCs w:val="22"/>
        </w:rPr>
        <w:t>pofazowy</w:t>
      </w:r>
      <w:proofErr w:type="spellEnd"/>
      <w:r w:rsidRPr="00DF779F">
        <w:rPr>
          <w:rFonts w:asciiTheme="minorHAnsi" w:hAnsiTheme="minorHAnsi" w:cstheme="minorHAnsi"/>
          <w:sz w:val="22"/>
          <w:szCs w:val="22"/>
        </w:rPr>
        <w:t xml:space="preserve"> - identyfikacja fazy przy zakłóceniu</w:t>
      </w:r>
    </w:p>
    <w:p w14:paraId="3E79C5F5"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zastosowanie dla linii napowietrznych i kablowych – mocno i słabo obciążonych,</w:t>
      </w:r>
    </w:p>
    <w:p w14:paraId="60AC1552"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duża czułość dla zwarć rezystancyjnych,</w:t>
      </w:r>
    </w:p>
    <w:p w14:paraId="44BAC6BA"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zastosowanie – linie o dwóch lub trzech końcach,</w:t>
      </w:r>
    </w:p>
    <w:p w14:paraId="4C66A28A"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możliwość </w:t>
      </w:r>
      <w:proofErr w:type="spellStart"/>
      <w:r w:rsidRPr="00DF779F">
        <w:rPr>
          <w:rFonts w:asciiTheme="minorHAnsi" w:hAnsiTheme="minorHAnsi" w:cstheme="minorHAnsi"/>
          <w:sz w:val="22"/>
          <w:szCs w:val="22"/>
        </w:rPr>
        <w:t>przesyłu</w:t>
      </w:r>
      <w:proofErr w:type="spellEnd"/>
      <w:r w:rsidRPr="00DF779F">
        <w:rPr>
          <w:rFonts w:asciiTheme="minorHAnsi" w:hAnsiTheme="minorHAnsi" w:cstheme="minorHAnsi"/>
          <w:sz w:val="22"/>
          <w:szCs w:val="22"/>
        </w:rPr>
        <w:t xml:space="preserve"> sygnałów binarnych kanałem zabezpieczeniowym do uwspółbieżnienia zabezpieczeń odległościowych</w:t>
      </w:r>
    </w:p>
    <w:p w14:paraId="1876613A"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korekcja w przypadku różnych przekładni po obu stronach linii</w:t>
      </w:r>
    </w:p>
    <w:p w14:paraId="107CA06D"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komunikacja zabezpieczeniowa pomiędzy końcami linii: bezpośrednia komunikacja światłowodowa punkt-punkt</w:t>
      </w:r>
    </w:p>
    <w:p w14:paraId="18232B79"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pełna kontrola i diagnostyka kanałów zabezpieczeniowych</w:t>
      </w:r>
    </w:p>
    <w:p w14:paraId="18478B70"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rezerwowe funkcje zabezpieczeniowe:</w:t>
      </w:r>
    </w:p>
    <w:p w14:paraId="0BBD104C"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Zabezpieczenie nadprądowe, </w:t>
      </w:r>
    </w:p>
    <w:p w14:paraId="6F26E775"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Zabezpieczenie ziemnozwarciowe kierunkowe – min. 2 stopnie</w:t>
      </w:r>
    </w:p>
    <w:p w14:paraId="428A6804"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Automatyka LRW</w:t>
      </w:r>
    </w:p>
    <w:p w14:paraId="52C54CAD"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automatyka SPZ: 3 fazowy </w:t>
      </w:r>
    </w:p>
    <w:p w14:paraId="761B5FE9"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programowalne schematy logiczne: </w:t>
      </w:r>
      <w:r w:rsidRPr="00DF779F">
        <w:rPr>
          <w:rFonts w:asciiTheme="minorHAnsi" w:hAnsiTheme="minorHAnsi" w:cstheme="minorHAnsi"/>
          <w:sz w:val="22"/>
          <w:szCs w:val="22"/>
        </w:rPr>
        <w:sym w:font="Arial" w:char="F020"/>
      </w:r>
      <w:r w:rsidRPr="00DF779F">
        <w:rPr>
          <w:rFonts w:asciiTheme="minorHAnsi" w:hAnsiTheme="minorHAnsi" w:cstheme="minorHAnsi"/>
          <w:sz w:val="22"/>
          <w:szCs w:val="22"/>
        </w:rPr>
        <w:t xml:space="preserve">możliwość tworzenia konfiguracji za pomocą graficznego </w:t>
      </w:r>
      <w:r w:rsidRPr="00DF779F">
        <w:rPr>
          <w:rFonts w:asciiTheme="minorHAnsi" w:hAnsiTheme="minorHAnsi" w:cstheme="minorHAnsi"/>
          <w:sz w:val="22"/>
          <w:szCs w:val="22"/>
        </w:rPr>
        <w:lastRenderedPageBreak/>
        <w:t>edytora</w:t>
      </w:r>
    </w:p>
    <w:p w14:paraId="133B7066"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funkcje dodatkowe:</w:t>
      </w:r>
    </w:p>
    <w:p w14:paraId="6A53AB2E"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4 grupy nastaw,</w:t>
      </w:r>
    </w:p>
    <w:p w14:paraId="26DAF168"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pomiary: U, I, P, Q</w:t>
      </w:r>
    </w:p>
    <w:p w14:paraId="386BF9A0"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rejestracja zdarzeń min. 500 zdarzeń,</w:t>
      </w:r>
    </w:p>
    <w:p w14:paraId="2154369C"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rejestracja przebiegów zakłóceń (minimum: 8 przebiegów analogowych, 20 przebiegów dwustanowych, 8 rejestracji po 5 sek.) , zapis rejestracji w standardzie COMTRADE,</w:t>
      </w:r>
    </w:p>
    <w:p w14:paraId="36BFBD17"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rejestracja parametrów </w:t>
      </w:r>
      <w:proofErr w:type="spellStart"/>
      <w:r w:rsidRPr="00DF779F">
        <w:rPr>
          <w:rFonts w:asciiTheme="minorHAnsi" w:hAnsiTheme="minorHAnsi" w:cstheme="minorHAnsi"/>
          <w:sz w:val="22"/>
          <w:szCs w:val="22"/>
        </w:rPr>
        <w:t>wyłączeń</w:t>
      </w:r>
      <w:proofErr w:type="spellEnd"/>
    </w:p>
    <w:p w14:paraId="74C5DA98"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testy –monitoring</w:t>
      </w:r>
    </w:p>
    <w:p w14:paraId="655FDEBF"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diagnostyka parametrów wyłącznika</w:t>
      </w:r>
    </w:p>
    <w:p w14:paraId="29F12406"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min 8 diod konfigurowalnych</w:t>
      </w:r>
    </w:p>
    <w:p w14:paraId="22FFBD78"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wejścia analogowe:</w:t>
      </w:r>
    </w:p>
    <w:p w14:paraId="48145C6A"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4 x I (IL1, IL2, IL3, I0)</w:t>
      </w:r>
    </w:p>
    <w:p w14:paraId="502A34B6"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wejścia binarne: min 15 szt.</w:t>
      </w:r>
    </w:p>
    <w:p w14:paraId="7E34FAA9"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 xml:space="preserve">wyjścia przekaźnikowe: min 20 szt. w tym OW1, OW2, ZAŁ, WATCH DOG, </w:t>
      </w:r>
    </w:p>
    <w:p w14:paraId="51812FB6"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napięcie zasilania, sterowania i sygnalizacji 220 V DC.</w:t>
      </w:r>
    </w:p>
    <w:p w14:paraId="64103EF1" w14:textId="77777777" w:rsidR="00271919" w:rsidRPr="00DF779F" w:rsidRDefault="00271919" w:rsidP="00B628F4">
      <w:pPr>
        <w:pStyle w:val="Akapitzlist"/>
        <w:widowControl w:val="0"/>
        <w:numPr>
          <w:ilvl w:val="0"/>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porty komunikacji:</w:t>
      </w:r>
    </w:p>
    <w:p w14:paraId="5E4B9DFB"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telemechanika: łącze światłowodowe lub RS485 – protokół: IEC60870-5-103 lub DNP 3.0,</w:t>
      </w:r>
    </w:p>
    <w:p w14:paraId="15F89EBF"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kanał inżynierski: RS485 lub Ethernet światłowód lub skrętka ekranowana,</w:t>
      </w:r>
    </w:p>
    <w:p w14:paraId="7DEEC2D3" w14:textId="77777777" w:rsidR="00271919" w:rsidRPr="00DF779F" w:rsidRDefault="00271919" w:rsidP="00B628F4">
      <w:pPr>
        <w:pStyle w:val="Akapitzlist"/>
        <w:widowControl w:val="0"/>
        <w:numPr>
          <w:ilvl w:val="1"/>
          <w:numId w:val="48"/>
        </w:numPr>
        <w:autoSpaceDE w:val="0"/>
        <w:autoSpaceDN w:val="0"/>
        <w:adjustRightInd w:val="0"/>
        <w:spacing w:before="0" w:after="0"/>
        <w:rPr>
          <w:rFonts w:asciiTheme="minorHAnsi" w:hAnsiTheme="minorHAnsi" w:cstheme="minorHAnsi"/>
          <w:sz w:val="22"/>
          <w:szCs w:val="22"/>
        </w:rPr>
      </w:pPr>
      <w:r w:rsidRPr="00DF779F">
        <w:rPr>
          <w:rFonts w:asciiTheme="minorHAnsi" w:hAnsiTheme="minorHAnsi" w:cstheme="minorHAnsi"/>
          <w:sz w:val="22"/>
          <w:szCs w:val="22"/>
        </w:rPr>
        <w:t>kanał diagnostyczny do komunikacji z laptopem.</w:t>
      </w:r>
    </w:p>
    <w:p w14:paraId="4BB516C2" w14:textId="08F8B8A7" w:rsidR="00271919" w:rsidRPr="00FD724B" w:rsidRDefault="008C7CA7"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Pr>
          <w:rFonts w:asciiTheme="minorHAnsi" w:hAnsiTheme="minorHAnsi" w:cstheme="minorHAnsi"/>
          <w:b/>
          <w:bCs/>
          <w:i/>
          <w:iCs/>
          <w:snapToGrid w:val="0"/>
          <w:sz w:val="22"/>
          <w:szCs w:val="22"/>
          <w:u w:val="single"/>
        </w:rPr>
        <w:t>Z</w:t>
      </w:r>
      <w:r w:rsidR="00271919" w:rsidRPr="00FD724B">
        <w:rPr>
          <w:rFonts w:asciiTheme="minorHAnsi" w:hAnsiTheme="minorHAnsi" w:cstheme="minorHAnsi"/>
          <w:b/>
          <w:bCs/>
          <w:i/>
          <w:iCs/>
          <w:snapToGrid w:val="0"/>
          <w:sz w:val="22"/>
          <w:szCs w:val="22"/>
          <w:u w:val="single"/>
        </w:rPr>
        <w:t>abezpieczenie ziemnozwarciowe:</w:t>
      </w:r>
    </w:p>
    <w:p w14:paraId="7D36DEEC" w14:textId="77777777" w:rsidR="00271919" w:rsidRPr="00DF779F" w:rsidRDefault="00271919" w:rsidP="00271919">
      <w:pPr>
        <w:widowControl w:val="0"/>
        <w:autoSpaceDE w:val="0"/>
        <w:autoSpaceDN w:val="0"/>
        <w:adjustRightInd w:val="0"/>
        <w:spacing w:before="0" w:after="0"/>
        <w:ind w:left="0" w:firstLine="340"/>
        <w:rPr>
          <w:rFonts w:asciiTheme="minorHAnsi" w:hAnsiTheme="minorHAnsi" w:cstheme="minorHAnsi"/>
          <w:sz w:val="22"/>
          <w:szCs w:val="22"/>
          <w:lang w:eastAsia="en-US"/>
        </w:rPr>
      </w:pPr>
      <w:r w:rsidRPr="00DF779F">
        <w:rPr>
          <w:rFonts w:asciiTheme="minorHAnsi" w:hAnsiTheme="minorHAnsi" w:cstheme="minorHAnsi"/>
          <w:sz w:val="22"/>
          <w:szCs w:val="22"/>
          <w:lang w:eastAsia="en-US"/>
        </w:rPr>
        <w:t xml:space="preserve">Zastosować zabezpieczenie spełniające </w:t>
      </w:r>
      <w:r w:rsidRPr="00DF779F">
        <w:rPr>
          <w:rFonts w:asciiTheme="minorHAnsi" w:hAnsiTheme="minorHAnsi" w:cstheme="minorHAnsi"/>
          <w:snapToGrid w:val="0"/>
          <w:sz w:val="22"/>
          <w:szCs w:val="22"/>
        </w:rPr>
        <w:t>następujące</w:t>
      </w:r>
      <w:r w:rsidRPr="00DF779F">
        <w:rPr>
          <w:rFonts w:asciiTheme="minorHAnsi" w:hAnsiTheme="minorHAnsi" w:cstheme="minorHAnsi"/>
          <w:sz w:val="22"/>
          <w:szCs w:val="22"/>
          <w:lang w:eastAsia="en-US"/>
        </w:rPr>
        <w:t xml:space="preserve"> wymagania </w:t>
      </w:r>
      <w:proofErr w:type="spellStart"/>
      <w:r w:rsidRPr="00DF779F">
        <w:rPr>
          <w:rFonts w:asciiTheme="minorHAnsi" w:hAnsiTheme="minorHAnsi" w:cstheme="minorHAnsi"/>
          <w:sz w:val="22"/>
          <w:szCs w:val="22"/>
          <w:lang w:eastAsia="en-US"/>
        </w:rPr>
        <w:t>MiCOM</w:t>
      </w:r>
      <w:proofErr w:type="spellEnd"/>
      <w:r w:rsidRPr="00DF779F">
        <w:rPr>
          <w:rFonts w:asciiTheme="minorHAnsi" w:hAnsiTheme="minorHAnsi" w:cstheme="minorHAnsi"/>
          <w:sz w:val="22"/>
          <w:szCs w:val="22"/>
          <w:lang w:eastAsia="en-US"/>
        </w:rPr>
        <w:t xml:space="preserve"> P139</w:t>
      </w:r>
      <w:r w:rsidRPr="00DF779F">
        <w:rPr>
          <w:rFonts w:asciiTheme="minorHAnsi" w:hAnsiTheme="minorHAnsi" w:cstheme="minorHAnsi"/>
          <w:sz w:val="22"/>
          <w:szCs w:val="22"/>
        </w:rPr>
        <w:t xml:space="preserve"> lub równoważne</w:t>
      </w:r>
      <w:r w:rsidRPr="00DF779F">
        <w:rPr>
          <w:rFonts w:asciiTheme="minorHAnsi" w:hAnsiTheme="minorHAnsi" w:cstheme="minorHAnsi"/>
          <w:sz w:val="22"/>
          <w:szCs w:val="22"/>
          <w:lang w:eastAsia="en-US"/>
        </w:rPr>
        <w:t>:</w:t>
      </w:r>
    </w:p>
    <w:p w14:paraId="3D130AC1" w14:textId="77777777" w:rsidR="00271919" w:rsidRPr="00DF779F" w:rsidRDefault="00271919" w:rsidP="00271919">
      <w:pPr>
        <w:tabs>
          <w:tab w:val="left" w:pos="5670"/>
        </w:tabs>
        <w:suppressAutoHyphens/>
        <w:spacing w:before="0" w:after="0"/>
        <w:ind w:left="340"/>
        <w:rPr>
          <w:rFonts w:asciiTheme="minorHAnsi" w:eastAsia="Calibri" w:hAnsiTheme="minorHAnsi" w:cstheme="minorHAnsi"/>
          <w:sz w:val="22"/>
          <w:szCs w:val="22"/>
        </w:rPr>
      </w:pPr>
      <w:r w:rsidRPr="00DF779F">
        <w:rPr>
          <w:rFonts w:asciiTheme="minorHAnsi" w:eastAsia="Calibri" w:hAnsiTheme="minorHAnsi" w:cstheme="minorHAnsi"/>
          <w:sz w:val="22"/>
          <w:szCs w:val="22"/>
        </w:rPr>
        <w:t>Zabezpieczenie powinno posiadać następujące cechy i charakterystyki:</w:t>
      </w:r>
    </w:p>
    <w:p w14:paraId="1E90743E"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Preferuje się zasilanie prądem i napięciem składowej zerowej</w:t>
      </w:r>
    </w:p>
    <w:p w14:paraId="26C8381B"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Określanie kierunku zwarcia</w:t>
      </w:r>
    </w:p>
    <w:p w14:paraId="6A1D2585"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Niezależne nastawy prądowe, dwa stopnie o zakresie</w:t>
      </w:r>
      <w:r w:rsidRPr="00DF779F">
        <w:rPr>
          <w:rFonts w:asciiTheme="minorHAnsi" w:eastAsia="Calibri" w:hAnsiTheme="minorHAnsi" w:cstheme="minorHAnsi"/>
          <w:spacing w:val="-2"/>
          <w:sz w:val="22"/>
          <w:szCs w:val="22"/>
        </w:rPr>
        <w:tab/>
        <w:t xml:space="preserve"> 0,1-10 IN</w:t>
      </w:r>
    </w:p>
    <w:p w14:paraId="7B35449E"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Możliwość wyboru charakterystyk czasowych niezależnych (0-6)s i zależnych</w:t>
      </w:r>
    </w:p>
    <w:p w14:paraId="4596516B"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Czułość napięciowa członu kierunkowego</w:t>
      </w:r>
      <w:r w:rsidRPr="00DF779F">
        <w:rPr>
          <w:rFonts w:asciiTheme="minorHAnsi" w:eastAsia="Calibri" w:hAnsiTheme="minorHAnsi" w:cstheme="minorHAnsi"/>
          <w:spacing w:val="-2"/>
          <w:sz w:val="22"/>
          <w:szCs w:val="22"/>
        </w:rPr>
        <w:tab/>
      </w:r>
      <w:r w:rsidRPr="00DF779F">
        <w:rPr>
          <w:rFonts w:asciiTheme="minorHAnsi" w:eastAsia="Calibri" w:hAnsiTheme="minorHAnsi" w:cstheme="minorHAnsi"/>
          <w:spacing w:val="-2"/>
          <w:sz w:val="22"/>
          <w:szCs w:val="22"/>
        </w:rPr>
        <w:sym w:font="Symbol" w:char="F0A3"/>
      </w:r>
      <w:r w:rsidRPr="00DF779F">
        <w:rPr>
          <w:rFonts w:asciiTheme="minorHAnsi" w:eastAsia="Calibri" w:hAnsiTheme="minorHAnsi" w:cstheme="minorHAnsi"/>
          <w:spacing w:val="-2"/>
          <w:sz w:val="22"/>
          <w:szCs w:val="22"/>
        </w:rPr>
        <w:t xml:space="preserve"> 1% </w:t>
      </w:r>
      <w:proofErr w:type="spellStart"/>
      <w:r w:rsidRPr="00DF779F">
        <w:rPr>
          <w:rFonts w:asciiTheme="minorHAnsi" w:eastAsia="Calibri" w:hAnsiTheme="minorHAnsi" w:cstheme="minorHAnsi"/>
          <w:spacing w:val="-2"/>
          <w:sz w:val="22"/>
          <w:szCs w:val="22"/>
        </w:rPr>
        <w:t>Un</w:t>
      </w:r>
      <w:proofErr w:type="spellEnd"/>
    </w:p>
    <w:p w14:paraId="32BE3EA1"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 xml:space="preserve"> Działać przy zwarciach jednofazowych i dwufazowych doziemnych, realizować określenie kierunku „do</w:t>
      </w:r>
      <w:r>
        <w:rPr>
          <w:rFonts w:asciiTheme="minorHAnsi" w:eastAsia="Calibri" w:hAnsiTheme="minorHAnsi" w:cstheme="minorHAnsi"/>
          <w:spacing w:val="-2"/>
          <w:sz w:val="22"/>
          <w:szCs w:val="22"/>
        </w:rPr>
        <w:t> </w:t>
      </w:r>
      <w:r w:rsidRPr="00DF779F">
        <w:rPr>
          <w:rFonts w:asciiTheme="minorHAnsi" w:eastAsia="Calibri" w:hAnsiTheme="minorHAnsi" w:cstheme="minorHAnsi"/>
          <w:spacing w:val="-2"/>
          <w:sz w:val="22"/>
          <w:szCs w:val="22"/>
        </w:rPr>
        <w:t xml:space="preserve">przodu” lub „do tyłu” </w:t>
      </w:r>
    </w:p>
    <w:p w14:paraId="47756846"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Nominalny czas działania:</w:t>
      </w:r>
      <w:r w:rsidRPr="00DF779F">
        <w:rPr>
          <w:rFonts w:asciiTheme="minorHAnsi" w:eastAsia="Calibri" w:hAnsiTheme="minorHAnsi" w:cstheme="minorHAnsi"/>
          <w:spacing w:val="-2"/>
          <w:sz w:val="22"/>
          <w:szCs w:val="22"/>
        </w:rPr>
        <w:tab/>
      </w:r>
      <w:r w:rsidRPr="00DF779F">
        <w:rPr>
          <w:rFonts w:asciiTheme="minorHAnsi" w:eastAsia="Calibri" w:hAnsiTheme="minorHAnsi" w:cstheme="minorHAnsi"/>
          <w:spacing w:val="-2"/>
          <w:sz w:val="22"/>
          <w:szCs w:val="22"/>
        </w:rPr>
        <w:tab/>
      </w:r>
      <w:r w:rsidRPr="00DF779F">
        <w:rPr>
          <w:rFonts w:asciiTheme="minorHAnsi" w:eastAsia="Calibri" w:hAnsiTheme="minorHAnsi" w:cstheme="minorHAnsi"/>
          <w:spacing w:val="-2"/>
          <w:sz w:val="22"/>
          <w:szCs w:val="22"/>
        </w:rPr>
        <w:tab/>
        <w:t>mniej niż 40 ms</w:t>
      </w:r>
    </w:p>
    <w:p w14:paraId="7E2E31B3"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Zabezpieczenie powinno posiadać jednostki sygnalizacyjno-przekaźnikowe dla lokalnej i zdalnej sygnalizacji i rejestracji zdarzeń</w:t>
      </w:r>
    </w:p>
    <w:p w14:paraId="4D358BEC"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Wbudowany, ciągły, monitoring podstawowych obwodów zasilających i wykonawczych przekaźnika wraz z automatycznym testowaniem jego funkcji. Jakiekolwiek uszkodzenie powinno być sygnalizowane lokalnie diodami LED i przy wykorzystaniu zestyków przekaźników sygnałowych przenoszone do</w:t>
      </w:r>
      <w:r>
        <w:rPr>
          <w:rFonts w:asciiTheme="minorHAnsi" w:eastAsia="Calibri" w:hAnsiTheme="minorHAnsi" w:cstheme="minorHAnsi"/>
          <w:spacing w:val="-2"/>
          <w:sz w:val="22"/>
          <w:szCs w:val="22"/>
        </w:rPr>
        <w:t> </w:t>
      </w:r>
      <w:r w:rsidRPr="00DF779F">
        <w:rPr>
          <w:rFonts w:asciiTheme="minorHAnsi" w:eastAsia="Calibri" w:hAnsiTheme="minorHAnsi" w:cstheme="minorHAnsi"/>
          <w:spacing w:val="-2"/>
          <w:sz w:val="22"/>
          <w:szCs w:val="22"/>
        </w:rPr>
        <w:t>sygnalizacji zewnętrznej</w:t>
      </w:r>
    </w:p>
    <w:p w14:paraId="1A45CC28"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 xml:space="preserve"> Rejestracja zdarzeń zakłóceniowych. Przekaźnik powinien rejestrować z odpowiednią podziałką czasową wszystkie swoje działania podczas zakłócenia w Systemie. Powinna istnieć możliwość transmisji tych informacji cyfrowym łączem szeregowym do ośrodków nadrzędnych. Pozostałe wymagania identyczne jak dla zabezpieczenia odległościowego</w:t>
      </w:r>
    </w:p>
    <w:p w14:paraId="02B5D1D5"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Zabezpieczenie powinno posiadać jednostki sygnalizacyjno-przekaźnikowe dla lokalnej i zdalnej sygnalizacji i rejestracji zdarzeń. Przekaźniki sygnałowe i wskazania powinny mieć możliwość swobodnego programowania wyjść binarnych dla uzyskania żądanych informacji o zdarzeniach zakłóceniowych w Systemie i uszkodzeniach przekaźnika. Powyższe odnosi się również do wejść binarnych. Przyporządkowanie wejść binarnych do określonych funkcji wewnętrznych powinno być również swobodnie programowalne</w:t>
      </w:r>
    </w:p>
    <w:p w14:paraId="143F8DCE"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 xml:space="preserve"> Dostęp do konfigurowania funkcji operacyjnych (konfiguracja elementów binarnych I/O, sygnalizatorów LED i parametrów nastaw) powinna być możliwa tylko po usunięciu osłony zabezpieczającej i użyciu hasła</w:t>
      </w:r>
    </w:p>
    <w:p w14:paraId="652FDEDE" w14:textId="77777777" w:rsidR="00271919" w:rsidRPr="00DF779F" w:rsidRDefault="00271919" w:rsidP="00B628F4">
      <w:pPr>
        <w:pStyle w:val="Akapitzlist"/>
        <w:widowControl w:val="0"/>
        <w:numPr>
          <w:ilvl w:val="0"/>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lastRenderedPageBreak/>
        <w:t>Terminal zabezpieczeniowy powinien realizować funkcję sterownika polowego w zakresie;</w:t>
      </w:r>
    </w:p>
    <w:p w14:paraId="7885E2FB" w14:textId="77777777" w:rsidR="00271919" w:rsidRPr="00DF779F" w:rsidRDefault="00271919" w:rsidP="00B628F4">
      <w:pPr>
        <w:pStyle w:val="Akapitzlist"/>
        <w:widowControl w:val="0"/>
        <w:numPr>
          <w:ilvl w:val="1"/>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sterowanie wszystkimi łącznikami pola</w:t>
      </w:r>
    </w:p>
    <w:p w14:paraId="4361AC72" w14:textId="77777777" w:rsidR="00271919" w:rsidRPr="00DF779F" w:rsidRDefault="00271919" w:rsidP="00B628F4">
      <w:pPr>
        <w:pStyle w:val="Akapitzlist"/>
        <w:widowControl w:val="0"/>
        <w:numPr>
          <w:ilvl w:val="1"/>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sygnalizacja stanu łączników pola</w:t>
      </w:r>
    </w:p>
    <w:p w14:paraId="15217599" w14:textId="77777777" w:rsidR="00271919" w:rsidRPr="00DF779F" w:rsidRDefault="00271919" w:rsidP="00B628F4">
      <w:pPr>
        <w:pStyle w:val="Akapitzlist"/>
        <w:widowControl w:val="0"/>
        <w:numPr>
          <w:ilvl w:val="1"/>
          <w:numId w:val="49"/>
        </w:numPr>
        <w:suppressAutoHyphens/>
        <w:autoSpaceDE w:val="0"/>
        <w:autoSpaceDN w:val="0"/>
        <w:adjustRightInd w:val="0"/>
        <w:spacing w:before="0" w:after="0"/>
        <w:rPr>
          <w:rFonts w:asciiTheme="minorHAnsi" w:eastAsia="Calibri" w:hAnsiTheme="minorHAnsi" w:cstheme="minorHAnsi"/>
          <w:spacing w:val="-2"/>
          <w:sz w:val="22"/>
          <w:szCs w:val="22"/>
        </w:rPr>
      </w:pPr>
      <w:r w:rsidRPr="00DF779F">
        <w:rPr>
          <w:rFonts w:asciiTheme="minorHAnsi" w:eastAsia="Calibri" w:hAnsiTheme="minorHAnsi" w:cstheme="minorHAnsi"/>
          <w:spacing w:val="-2"/>
          <w:sz w:val="22"/>
          <w:szCs w:val="22"/>
        </w:rPr>
        <w:t>pomiarów</w:t>
      </w:r>
    </w:p>
    <w:p w14:paraId="3FA91C70"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114" w:name="_Toc399845212"/>
      <w:bookmarkStart w:id="115" w:name="_Toc406740029"/>
      <w:bookmarkStart w:id="116" w:name="_Toc406740697"/>
      <w:bookmarkStart w:id="117" w:name="_Toc417565911"/>
      <w:bookmarkStart w:id="118" w:name="_Toc418676972"/>
      <w:r w:rsidRPr="00FD724B">
        <w:rPr>
          <w:rFonts w:asciiTheme="minorHAnsi" w:hAnsiTheme="minorHAnsi" w:cstheme="minorHAnsi"/>
          <w:b/>
          <w:bCs/>
          <w:i/>
          <w:iCs/>
          <w:snapToGrid w:val="0"/>
          <w:sz w:val="22"/>
          <w:szCs w:val="22"/>
          <w:u w:val="single"/>
        </w:rPr>
        <w:t>Układ zabezpieczenia szyn i lokalnej rezerwy wyłącznikowej rozdzielni 110 </w:t>
      </w:r>
      <w:proofErr w:type="spellStart"/>
      <w:r w:rsidRPr="00FD724B">
        <w:rPr>
          <w:rFonts w:asciiTheme="minorHAnsi" w:hAnsiTheme="minorHAnsi" w:cstheme="minorHAnsi"/>
          <w:b/>
          <w:bCs/>
          <w:i/>
          <w:iCs/>
          <w:snapToGrid w:val="0"/>
          <w:sz w:val="22"/>
          <w:szCs w:val="22"/>
          <w:u w:val="single"/>
        </w:rPr>
        <w:t>kV</w:t>
      </w:r>
      <w:proofErr w:type="spellEnd"/>
      <w:r w:rsidRPr="00FD724B">
        <w:rPr>
          <w:rFonts w:asciiTheme="minorHAnsi" w:hAnsiTheme="minorHAnsi" w:cstheme="minorHAnsi"/>
          <w:b/>
          <w:bCs/>
          <w:i/>
          <w:iCs/>
          <w:snapToGrid w:val="0"/>
          <w:sz w:val="22"/>
          <w:szCs w:val="22"/>
          <w:u w:val="single"/>
        </w:rPr>
        <w:t>:</w:t>
      </w:r>
      <w:bookmarkEnd w:id="114"/>
      <w:bookmarkEnd w:id="115"/>
      <w:bookmarkEnd w:id="116"/>
      <w:bookmarkEnd w:id="117"/>
      <w:bookmarkEnd w:id="118"/>
    </w:p>
    <w:p w14:paraId="55B4D4D2" w14:textId="77777777" w:rsidR="00271919" w:rsidRPr="00DF779F" w:rsidRDefault="00271919" w:rsidP="00271919">
      <w:pPr>
        <w:widowControl w:val="0"/>
        <w:autoSpaceDE w:val="0"/>
        <w:autoSpaceDN w:val="0"/>
        <w:adjustRightInd w:val="0"/>
        <w:spacing w:before="0" w:after="0"/>
        <w:ind w:left="0" w:firstLine="340"/>
        <w:rPr>
          <w:rFonts w:asciiTheme="minorHAnsi" w:hAnsiTheme="minorHAnsi" w:cstheme="minorHAnsi"/>
          <w:sz w:val="22"/>
          <w:szCs w:val="22"/>
        </w:rPr>
      </w:pPr>
      <w:r w:rsidRPr="00DF779F">
        <w:rPr>
          <w:rFonts w:asciiTheme="minorHAnsi" w:hAnsiTheme="minorHAnsi" w:cstheme="minorHAnsi"/>
          <w:sz w:val="22"/>
          <w:szCs w:val="22"/>
        </w:rPr>
        <w:t xml:space="preserve">Wymagania dla ZS i LRW </w:t>
      </w:r>
      <w:r w:rsidRPr="00DF779F">
        <w:rPr>
          <w:rFonts w:asciiTheme="minorHAnsi" w:hAnsiTheme="minorHAnsi" w:cstheme="minorHAnsi"/>
          <w:snapToGrid w:val="0"/>
          <w:sz w:val="22"/>
          <w:szCs w:val="22"/>
        </w:rPr>
        <w:t>rozdzielni</w:t>
      </w:r>
      <w:r w:rsidRPr="00DF779F">
        <w:rPr>
          <w:rFonts w:asciiTheme="minorHAnsi" w:hAnsiTheme="minorHAnsi" w:cstheme="minorHAnsi"/>
          <w:sz w:val="22"/>
          <w:szCs w:val="22"/>
        </w:rPr>
        <w:t xml:space="preserve">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(np. </w:t>
      </w:r>
      <w:proofErr w:type="spellStart"/>
      <w:r w:rsidRPr="00DF779F">
        <w:rPr>
          <w:rFonts w:asciiTheme="minorHAnsi" w:hAnsiTheme="minorHAnsi" w:cstheme="minorHAnsi"/>
          <w:sz w:val="22"/>
          <w:szCs w:val="22"/>
        </w:rPr>
        <w:t>Micom</w:t>
      </w:r>
      <w:proofErr w:type="spellEnd"/>
      <w:r w:rsidRPr="00DF779F">
        <w:rPr>
          <w:rFonts w:asciiTheme="minorHAnsi" w:hAnsiTheme="minorHAnsi" w:cstheme="minorHAnsi"/>
          <w:sz w:val="22"/>
          <w:szCs w:val="22"/>
        </w:rPr>
        <w:t xml:space="preserve"> 74x lub równoważne):</w:t>
      </w:r>
    </w:p>
    <w:p w14:paraId="155557DB"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hAnsiTheme="minorHAnsi" w:cstheme="minorHAnsi"/>
          <w:sz w:val="22"/>
          <w:szCs w:val="22"/>
        </w:rPr>
        <w:t>dedykowany terminal cyfrowy,</w:t>
      </w:r>
    </w:p>
    <w:p w14:paraId="06181EB1" w14:textId="77777777" w:rsidR="00271919" w:rsidRPr="00DF779F" w:rsidRDefault="00271919" w:rsidP="00B628F4">
      <w:pPr>
        <w:pStyle w:val="Akapitzlist"/>
        <w:numPr>
          <w:ilvl w:val="0"/>
          <w:numId w:val="50"/>
        </w:numPr>
        <w:spacing w:before="0" w:after="0"/>
        <w:rPr>
          <w:rFonts w:asciiTheme="minorHAnsi" w:eastAsia="Calibri" w:hAnsiTheme="minorHAnsi" w:cstheme="minorHAnsi"/>
          <w:sz w:val="22"/>
          <w:szCs w:val="22"/>
        </w:rPr>
      </w:pPr>
      <w:r w:rsidRPr="00DF779F">
        <w:rPr>
          <w:rFonts w:asciiTheme="minorHAnsi" w:hAnsiTheme="minorHAnsi" w:cstheme="minorHAnsi"/>
          <w:sz w:val="22"/>
          <w:szCs w:val="22"/>
        </w:rPr>
        <w:t>realizacja funkcji LRW dla pól rozdzielni + rezerwa (min 1 pole),</w:t>
      </w:r>
    </w:p>
    <w:p w14:paraId="665E0D44" w14:textId="77777777" w:rsidR="00271919" w:rsidRPr="00DF779F" w:rsidRDefault="00271919" w:rsidP="00B628F4">
      <w:pPr>
        <w:pStyle w:val="Akapitzlist"/>
        <w:numPr>
          <w:ilvl w:val="0"/>
          <w:numId w:val="50"/>
        </w:numPr>
        <w:spacing w:before="0" w:after="0"/>
        <w:rPr>
          <w:rFonts w:asciiTheme="minorHAnsi" w:eastAsia="Calibri" w:hAnsiTheme="minorHAnsi" w:cstheme="minorHAnsi"/>
          <w:sz w:val="22"/>
          <w:szCs w:val="22"/>
        </w:rPr>
      </w:pPr>
      <w:r w:rsidRPr="00DF779F">
        <w:rPr>
          <w:rFonts w:asciiTheme="minorHAnsi" w:hAnsiTheme="minorHAnsi" w:cstheme="minorHAnsi"/>
          <w:sz w:val="22"/>
          <w:szCs w:val="22"/>
        </w:rPr>
        <w:t>realizacja funkcji ZS/LRW z kryterium wyłącznikowym i prądowym oraz funkcją „</w:t>
      </w:r>
      <w:proofErr w:type="spellStart"/>
      <w:r w:rsidRPr="00DF779F">
        <w:rPr>
          <w:rFonts w:asciiTheme="minorHAnsi" w:hAnsiTheme="minorHAnsi" w:cstheme="minorHAnsi"/>
          <w:sz w:val="22"/>
          <w:szCs w:val="22"/>
        </w:rPr>
        <w:t>retrip</w:t>
      </w:r>
      <w:proofErr w:type="spellEnd"/>
      <w:r w:rsidRPr="00DF779F">
        <w:rPr>
          <w:rFonts w:asciiTheme="minorHAnsi" w:hAnsiTheme="minorHAnsi" w:cstheme="minorHAnsi"/>
          <w:sz w:val="22"/>
          <w:szCs w:val="22"/>
        </w:rPr>
        <w:t>”,</w:t>
      </w:r>
    </w:p>
    <w:p w14:paraId="412FE6E9"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eastAsia="Calibri" w:hAnsiTheme="minorHAnsi" w:cstheme="minorHAnsi"/>
          <w:sz w:val="22"/>
          <w:szCs w:val="22"/>
        </w:rPr>
        <w:t>realizacja funkcji różnicowego zabezpieczenia szyn z detekcją martwej strefy dla rozdzielni 110 </w:t>
      </w:r>
      <w:proofErr w:type="spellStart"/>
      <w:r w:rsidRPr="00DF779F">
        <w:rPr>
          <w:rFonts w:asciiTheme="minorHAnsi" w:eastAsia="Calibri" w:hAnsiTheme="minorHAnsi" w:cstheme="minorHAnsi"/>
          <w:sz w:val="22"/>
          <w:szCs w:val="22"/>
        </w:rPr>
        <w:t>kV</w:t>
      </w:r>
      <w:proofErr w:type="spellEnd"/>
    </w:p>
    <w:p w14:paraId="65BA4020"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hAnsiTheme="minorHAnsi" w:cstheme="minorHAnsi"/>
          <w:sz w:val="22"/>
          <w:szCs w:val="22"/>
        </w:rPr>
        <w:t>rejestrator zdarzeń i zakłóceń,</w:t>
      </w:r>
    </w:p>
    <w:p w14:paraId="353AF068"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hAnsiTheme="minorHAnsi" w:cstheme="minorHAnsi"/>
          <w:sz w:val="22"/>
          <w:szCs w:val="22"/>
        </w:rPr>
        <w:t>telemechanika: łącze światłowodowe – protokół: IEC60870-5-103 lub DNP 3.0</w:t>
      </w:r>
    </w:p>
    <w:p w14:paraId="31258506"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hAnsiTheme="minorHAnsi" w:cstheme="minorHAnsi"/>
          <w:sz w:val="22"/>
          <w:szCs w:val="22"/>
        </w:rPr>
        <w:t>kanał inżynierski: RS485/RE232 lub Ethernet światłowód lub skrętka ekranowana,</w:t>
      </w:r>
    </w:p>
    <w:p w14:paraId="076CF659" w14:textId="77777777" w:rsidR="00271919" w:rsidRPr="00DF779F" w:rsidRDefault="00271919" w:rsidP="00B628F4">
      <w:pPr>
        <w:pStyle w:val="Akapitzlist"/>
        <w:numPr>
          <w:ilvl w:val="0"/>
          <w:numId w:val="50"/>
        </w:numPr>
        <w:spacing w:before="0" w:after="0"/>
        <w:rPr>
          <w:rFonts w:asciiTheme="minorHAnsi" w:hAnsiTheme="minorHAnsi" w:cstheme="minorHAnsi"/>
          <w:sz w:val="22"/>
          <w:szCs w:val="22"/>
        </w:rPr>
      </w:pPr>
      <w:r w:rsidRPr="00DF779F">
        <w:rPr>
          <w:rFonts w:asciiTheme="minorHAnsi" w:hAnsiTheme="minorHAnsi" w:cstheme="minorHAnsi"/>
          <w:sz w:val="22"/>
          <w:szCs w:val="22"/>
        </w:rPr>
        <w:t>kanał diagnostyczny do komunikacji z laptopem.</w:t>
      </w:r>
    </w:p>
    <w:p w14:paraId="7A336C86" w14:textId="77777777" w:rsidR="00271919" w:rsidRPr="00FD724B"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sidRPr="00FD724B">
        <w:rPr>
          <w:rFonts w:asciiTheme="minorHAnsi" w:hAnsiTheme="minorHAnsi" w:cstheme="minorHAnsi"/>
          <w:b/>
          <w:bCs/>
          <w:i/>
          <w:iCs/>
          <w:snapToGrid w:val="0"/>
          <w:sz w:val="22"/>
          <w:szCs w:val="22"/>
          <w:u w:val="single"/>
        </w:rPr>
        <w:t>Automatyczne załączanie rezerwy (SZR)</w:t>
      </w:r>
    </w:p>
    <w:p w14:paraId="21D759BA" w14:textId="77777777" w:rsidR="00271919" w:rsidRPr="00DF779F" w:rsidRDefault="00271919" w:rsidP="00271919">
      <w:pPr>
        <w:widowControl w:val="0"/>
        <w:autoSpaceDE w:val="0"/>
        <w:autoSpaceDN w:val="0"/>
        <w:adjustRightInd w:val="0"/>
        <w:spacing w:before="0" w:after="0"/>
        <w:ind w:left="0" w:firstLine="340"/>
        <w:rPr>
          <w:rFonts w:asciiTheme="minorHAnsi" w:hAnsiTheme="minorHAnsi" w:cstheme="minorHAnsi"/>
          <w:sz w:val="22"/>
          <w:szCs w:val="22"/>
        </w:rPr>
      </w:pPr>
      <w:r w:rsidRPr="00DF779F">
        <w:rPr>
          <w:rFonts w:asciiTheme="minorHAnsi" w:hAnsiTheme="minorHAnsi" w:cstheme="minorHAnsi"/>
          <w:sz w:val="22"/>
          <w:szCs w:val="22"/>
        </w:rPr>
        <w:t>Automatyka SZR powinna być zrealizowana w oparciu o przekaźnik cyfrowy, włączony do systemu nadzoru oraz posiadać i realizować następujące funkcje:</w:t>
      </w:r>
    </w:p>
    <w:p w14:paraId="5D99F096"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możliwość pracy w układzie rezerwy jawnej I, jawnej II i ukrytej oraz w układzie transformator – linia;</w:t>
      </w:r>
    </w:p>
    <w:p w14:paraId="75AF9749"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kontrolę napięcia zasilania w torze podstawowym – człon podnapięciowy;</w:t>
      </w:r>
    </w:p>
    <w:p w14:paraId="6C4BC1D4"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kontrolę napięcia zasilania w torze rezerwowym – człon nadnapięciowy;</w:t>
      </w:r>
    </w:p>
    <w:p w14:paraId="3157DB07"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blokada automatyki SZR powinna być możliwa poprzez protokół komunikacyjny lub przez binarne wejścia informacyjne (zdalna lokalna);</w:t>
      </w:r>
    </w:p>
    <w:p w14:paraId="127A5C82"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pomiary napięć;</w:t>
      </w:r>
    </w:p>
    <w:p w14:paraId="7B3BAD35"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możliwość programowego wyboru trybu pracy blokady po zadziałaniu lub samoczynnego odblokowania;</w:t>
      </w:r>
    </w:p>
    <w:p w14:paraId="3B70BD1F"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monitorowanie podstawowych obwodów zasilających i wykonawczych z automatycznym testowaniem jego funkcji. Błędy powinny być sygnalizowane lokalnie sygnalizacją ostrzegawczą, przesyłane do systemu nadzoru, a automatyka po ich wykryciu powinna się samoczynnie zablokować;</w:t>
      </w:r>
    </w:p>
    <w:p w14:paraId="6F141345" w14:textId="77777777" w:rsidR="00271919" w:rsidRPr="00DF779F" w:rsidRDefault="00271919" w:rsidP="00B628F4">
      <w:pPr>
        <w:pStyle w:val="Akapitzlist"/>
        <w:widowControl w:val="0"/>
        <w:numPr>
          <w:ilvl w:val="0"/>
          <w:numId w:val="51"/>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rejestracja zdarzeń zakłóceniowych, przekaźnik powinien rejestrować z odpowiednią podziałką czasową wszystkie swoje działania podczas zakłócenia w systemie.</w:t>
      </w:r>
    </w:p>
    <w:p w14:paraId="02F92278" w14:textId="4912F6DF" w:rsidR="00974B2C" w:rsidRPr="00974B2C" w:rsidRDefault="00974B2C" w:rsidP="00974B2C">
      <w:pPr>
        <w:pStyle w:val="Nagwek2"/>
      </w:pPr>
      <w:bookmarkStart w:id="119" w:name="_Toc216678519"/>
      <w:r w:rsidRPr="00974B2C">
        <w:t>Sterowania i blokady</w:t>
      </w:r>
      <w:bookmarkEnd w:id="78"/>
      <w:bookmarkEnd w:id="79"/>
      <w:bookmarkEnd w:id="119"/>
    </w:p>
    <w:p w14:paraId="3FA7190D" w14:textId="77777777" w:rsidR="00271919" w:rsidRPr="00DF779F" w:rsidRDefault="00271919" w:rsidP="00271919">
      <w:pPr>
        <w:widowControl w:val="0"/>
        <w:autoSpaceDE w:val="0"/>
        <w:autoSpaceDN w:val="0"/>
        <w:adjustRightInd w:val="0"/>
        <w:spacing w:before="0" w:after="0"/>
        <w:ind w:left="0" w:firstLine="284"/>
        <w:rPr>
          <w:rFonts w:asciiTheme="minorHAnsi" w:hAnsiTheme="minorHAnsi" w:cstheme="minorHAnsi"/>
          <w:sz w:val="22"/>
          <w:szCs w:val="22"/>
          <w:u w:val="single"/>
        </w:rPr>
      </w:pPr>
      <w:bookmarkStart w:id="120" w:name="_Toc198028125"/>
      <w:r w:rsidRPr="00DF779F">
        <w:rPr>
          <w:rFonts w:asciiTheme="minorHAnsi" w:hAnsiTheme="minorHAnsi" w:cstheme="minorHAnsi"/>
          <w:sz w:val="22"/>
          <w:szCs w:val="22"/>
          <w:u w:val="single"/>
        </w:rPr>
        <w:t>Zastosować:</w:t>
      </w:r>
    </w:p>
    <w:p w14:paraId="0878D607" w14:textId="77777777" w:rsidR="00271919" w:rsidRPr="00DF779F" w:rsidRDefault="00271919" w:rsidP="00B628F4">
      <w:pPr>
        <w:pStyle w:val="Tekstpodstawowy"/>
        <w:numPr>
          <w:ilvl w:val="0"/>
          <w:numId w:val="52"/>
        </w:numPr>
        <w:spacing w:before="0" w:after="0"/>
        <w:rPr>
          <w:rFonts w:asciiTheme="minorHAnsi" w:hAnsiTheme="minorHAnsi" w:cstheme="minorHAnsi"/>
          <w:sz w:val="22"/>
          <w:szCs w:val="22"/>
        </w:rPr>
      </w:pPr>
      <w:r w:rsidRPr="00DF779F">
        <w:rPr>
          <w:rFonts w:asciiTheme="minorHAnsi" w:hAnsiTheme="minorHAnsi" w:cstheme="minorHAnsi"/>
          <w:sz w:val="22"/>
          <w:szCs w:val="22"/>
        </w:rPr>
        <w:t>sterowanie wszystkimi łącznikami stacji zrealizowane jako bezpośrednie impulsowanie na wejścia binarne odpowiednich terminali polowych,</w:t>
      </w:r>
    </w:p>
    <w:p w14:paraId="1EB776E7" w14:textId="77777777" w:rsidR="00271919" w:rsidRPr="00DF779F" w:rsidRDefault="00271919" w:rsidP="00B628F4">
      <w:pPr>
        <w:pStyle w:val="Tekstpodstawowy"/>
        <w:numPr>
          <w:ilvl w:val="0"/>
          <w:numId w:val="52"/>
        </w:numPr>
        <w:spacing w:before="0" w:after="0"/>
        <w:rPr>
          <w:rFonts w:asciiTheme="minorHAnsi" w:hAnsiTheme="minorHAnsi" w:cstheme="minorHAnsi"/>
          <w:sz w:val="22"/>
          <w:szCs w:val="22"/>
        </w:rPr>
      </w:pPr>
      <w:r w:rsidRPr="00DF779F">
        <w:rPr>
          <w:rFonts w:asciiTheme="minorHAnsi" w:hAnsiTheme="minorHAnsi" w:cstheme="minorHAnsi"/>
          <w:sz w:val="22"/>
          <w:szCs w:val="22"/>
        </w:rPr>
        <w:t>blokady polowe i między polowe, zrealizowane w oparciu o blokady elektromechaniczne i programowe w zespołach zabezpieczeń,</w:t>
      </w:r>
    </w:p>
    <w:p w14:paraId="7F5943C5" w14:textId="77777777" w:rsidR="00271919" w:rsidRPr="00DF779F" w:rsidRDefault="00271919" w:rsidP="00B628F4">
      <w:pPr>
        <w:pStyle w:val="Tekstpodstawowy"/>
        <w:numPr>
          <w:ilvl w:val="0"/>
          <w:numId w:val="52"/>
        </w:numPr>
        <w:spacing w:before="0" w:after="0"/>
        <w:rPr>
          <w:rFonts w:asciiTheme="minorHAnsi" w:hAnsiTheme="minorHAnsi" w:cstheme="minorHAnsi"/>
          <w:sz w:val="22"/>
          <w:szCs w:val="22"/>
        </w:rPr>
      </w:pPr>
      <w:r w:rsidRPr="00DF779F">
        <w:rPr>
          <w:rFonts w:asciiTheme="minorHAnsi" w:hAnsiTheme="minorHAnsi" w:cstheme="minorHAnsi"/>
          <w:sz w:val="22"/>
          <w:szCs w:val="22"/>
        </w:rPr>
        <w:t>łączniki rozdzielni 110kV sterowane zdalnie z telemechaniki, z nastawni z zespołów sterowniczo zabezpieczeniowych, zlokalizowanych w szafach przekaźnikowych, dodatkowo możliwość sterowania przyciskami zlokalizowanymi w szafce sterowniczej pola oraz wyłącznika,</w:t>
      </w:r>
    </w:p>
    <w:p w14:paraId="1E89E430" w14:textId="77777777" w:rsidR="00271919" w:rsidRPr="00DF779F" w:rsidRDefault="00271919" w:rsidP="00B628F4">
      <w:pPr>
        <w:pStyle w:val="Tekstpodstawowy"/>
        <w:numPr>
          <w:ilvl w:val="0"/>
          <w:numId w:val="52"/>
        </w:numPr>
        <w:spacing w:before="0" w:after="0"/>
        <w:rPr>
          <w:rFonts w:asciiTheme="minorHAnsi" w:hAnsiTheme="minorHAnsi" w:cstheme="minorHAnsi"/>
          <w:sz w:val="22"/>
          <w:szCs w:val="22"/>
        </w:rPr>
      </w:pPr>
      <w:r w:rsidRPr="00DF779F">
        <w:rPr>
          <w:rFonts w:asciiTheme="minorHAnsi" w:hAnsiTheme="minorHAnsi" w:cstheme="minorHAnsi"/>
          <w:sz w:val="22"/>
          <w:szCs w:val="22"/>
        </w:rPr>
        <w:t>sygnalizacja zbiorcza stacji - zespół centralnej sygnalizacji zakłóceń oparty o technikę mikroprocesorową</w:t>
      </w:r>
    </w:p>
    <w:p w14:paraId="2B03D696" w14:textId="77777777" w:rsidR="00271919" w:rsidRPr="00DF779F" w:rsidRDefault="00271919" w:rsidP="00271919">
      <w:pPr>
        <w:pStyle w:val="Bezodstpw"/>
        <w:ind w:left="0" w:firstLine="340"/>
        <w:rPr>
          <w:rFonts w:cstheme="minorHAnsi"/>
          <w:b/>
        </w:rPr>
      </w:pPr>
      <w:r w:rsidRPr="00DF779F">
        <w:rPr>
          <w:rFonts w:cstheme="minorHAnsi"/>
        </w:rPr>
        <w:t>Z wszystkimi zabezpieczeniami zabudowanymi na rozdzielni: 110kV należy wykonać komunikacje do kanału inżynierskiego.</w:t>
      </w:r>
    </w:p>
    <w:p w14:paraId="2BB9C2F7" w14:textId="77777777" w:rsidR="00726CEC" w:rsidRPr="00726CEC" w:rsidRDefault="00726CEC" w:rsidP="00726CEC">
      <w:pPr>
        <w:pStyle w:val="Nagwek2"/>
      </w:pPr>
      <w:bookmarkStart w:id="121" w:name="_Toc216678520"/>
      <w:r w:rsidRPr="00726CEC">
        <w:t>Kanały kablowe i szafki kablowe</w:t>
      </w:r>
      <w:bookmarkEnd w:id="120"/>
      <w:bookmarkEnd w:id="121"/>
    </w:p>
    <w:p w14:paraId="6BCB5A29" w14:textId="77777777" w:rsidR="00271919" w:rsidRPr="00DF779F" w:rsidRDefault="00271919" w:rsidP="00271919">
      <w:pPr>
        <w:pStyle w:val="Bezodstpw"/>
        <w:tabs>
          <w:tab w:val="left" w:pos="709"/>
        </w:tabs>
        <w:rPr>
          <w:rFonts w:cstheme="minorHAnsi"/>
          <w:u w:val="single"/>
        </w:rPr>
      </w:pPr>
      <w:bookmarkStart w:id="122" w:name="_Toc198028126"/>
      <w:r w:rsidRPr="00DF779F">
        <w:rPr>
          <w:rFonts w:cstheme="minorHAnsi"/>
          <w:u w:val="single"/>
        </w:rPr>
        <w:t>Kanały kablowe</w:t>
      </w:r>
    </w:p>
    <w:p w14:paraId="734EC27D" w14:textId="77777777" w:rsidR="00271919" w:rsidRPr="00DF779F" w:rsidRDefault="00271919" w:rsidP="00B628F4">
      <w:pPr>
        <w:pStyle w:val="Bezodstpw"/>
        <w:widowControl w:val="0"/>
        <w:numPr>
          <w:ilvl w:val="0"/>
          <w:numId w:val="53"/>
        </w:numPr>
        <w:autoSpaceDE w:val="0"/>
        <w:autoSpaceDN w:val="0"/>
        <w:adjustRightInd w:val="0"/>
        <w:spacing w:before="0" w:after="0"/>
        <w:rPr>
          <w:rFonts w:cstheme="minorHAnsi"/>
        </w:rPr>
      </w:pPr>
      <w:r w:rsidRPr="00DF779F">
        <w:rPr>
          <w:rFonts w:cstheme="minorHAnsi"/>
        </w:rPr>
        <w:t xml:space="preserve">kable obwodów wtórnych od szafek pól rozdzielni 110kV do szaf zabezpieczeniowych na nastawni </w:t>
      </w:r>
      <w:r w:rsidRPr="00DF779F">
        <w:rPr>
          <w:rFonts w:cstheme="minorHAnsi"/>
        </w:rPr>
        <w:lastRenderedPageBreak/>
        <w:t>należy układać w rurach ochronnych, które są dostosowane pod względem przekrojów do wymaganych ilości kabli;</w:t>
      </w:r>
    </w:p>
    <w:p w14:paraId="2F882F52" w14:textId="77777777" w:rsidR="00271919" w:rsidRPr="00DF779F" w:rsidRDefault="00271919" w:rsidP="00B628F4">
      <w:pPr>
        <w:pStyle w:val="Bezodstpw"/>
        <w:widowControl w:val="0"/>
        <w:numPr>
          <w:ilvl w:val="0"/>
          <w:numId w:val="53"/>
        </w:numPr>
        <w:autoSpaceDE w:val="0"/>
        <w:autoSpaceDN w:val="0"/>
        <w:adjustRightInd w:val="0"/>
        <w:spacing w:before="0" w:after="0"/>
        <w:rPr>
          <w:rFonts w:cstheme="minorHAnsi"/>
        </w:rPr>
      </w:pPr>
      <w:r w:rsidRPr="00DF779F">
        <w:rPr>
          <w:rFonts w:cstheme="minorHAnsi"/>
        </w:rPr>
        <w:t>przy prowadzeniu kabli obwodów wtórnych w rurach ochronnych należy zainstalować kablowe studnie montażowe, umożliwiające wprowadzenie kabli z poszczególnych pól do ciągu kablowego;</w:t>
      </w:r>
    </w:p>
    <w:p w14:paraId="168C24A6" w14:textId="77777777" w:rsidR="00271919" w:rsidRPr="00DF779F" w:rsidRDefault="00271919" w:rsidP="00B628F4">
      <w:pPr>
        <w:pStyle w:val="Akapitzlist"/>
        <w:widowControl w:val="0"/>
        <w:numPr>
          <w:ilvl w:val="0"/>
          <w:numId w:val="53"/>
        </w:numPr>
        <w:autoSpaceDE w:val="0"/>
        <w:autoSpaceDN w:val="0"/>
        <w:adjustRightInd w:val="0"/>
        <w:spacing w:before="0" w:after="0"/>
        <w:jc w:val="left"/>
        <w:rPr>
          <w:rFonts w:asciiTheme="minorHAnsi" w:hAnsiTheme="minorHAnsi" w:cstheme="minorHAnsi"/>
          <w:sz w:val="22"/>
          <w:szCs w:val="22"/>
        </w:rPr>
      </w:pPr>
      <w:r w:rsidRPr="00DF779F">
        <w:rPr>
          <w:rFonts w:asciiTheme="minorHAnsi" w:hAnsiTheme="minorHAnsi" w:cstheme="minorHAnsi"/>
          <w:sz w:val="22"/>
          <w:szCs w:val="22"/>
        </w:rPr>
        <w:t>szafki kablowe rozdzielni 110kV wykonane na konstrukcjach zabezpieczających przed zalaniem od strony sąsiadującej rzeki:</w:t>
      </w:r>
    </w:p>
    <w:p w14:paraId="1966AF33"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Szafki kablowe powinny być wykonane z aluminiowe o klasie ochrony IP 54 i zabezpieczone trwałym pokryciem antykorozyjnym,</w:t>
      </w:r>
    </w:p>
    <w:p w14:paraId="135C0887"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 xml:space="preserve">Szafki kablowe powinny być zabezpieczone przed możliwością skraplania się wilgoci np. poprzez zastosowanie ogrzewania </w:t>
      </w:r>
      <w:proofErr w:type="spellStart"/>
      <w:r w:rsidRPr="00DF779F">
        <w:rPr>
          <w:rFonts w:cstheme="minorHAnsi"/>
        </w:rPr>
        <w:t>antykondensacyjnego</w:t>
      </w:r>
      <w:proofErr w:type="spellEnd"/>
      <w:r w:rsidRPr="00DF779F">
        <w:rPr>
          <w:rFonts w:cstheme="minorHAnsi"/>
        </w:rPr>
        <w:t>. Ogrzewanie w szafkach winno być sterowane termostatami,</w:t>
      </w:r>
    </w:p>
    <w:p w14:paraId="4CBFE415"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Montowana wewnątrz aparatura i jej elementy winny być odporne na korozję,</w:t>
      </w:r>
    </w:p>
    <w:p w14:paraId="789DC694"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Wnętrze szafek powinno być wyposażone w oświetlenie dla każdej jej części,</w:t>
      </w:r>
    </w:p>
    <w:p w14:paraId="57D80A82"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Szafki powinny być podłączone do podstawowego systemu uziemień stacji przy pomocy wielodrutowego przewodu miedzianego (Cu) o przekroju wyznaczonym na etapie projektu wykonawczego,</w:t>
      </w:r>
    </w:p>
    <w:p w14:paraId="1618090D"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Szafka kablowa, aparaty, listwy i zaciski powinny być opisane. Wszelkie oznaczenia powinny być dobrze widoczne i czytelne. Projekt opisów musi być określony w porozumieniu z Zamawiającym,</w:t>
      </w:r>
    </w:p>
    <w:p w14:paraId="331FF9CF"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Przyciski sterowania w szafkach kablowych powinny być umieszczone wraz ze schematem pola,</w:t>
      </w:r>
    </w:p>
    <w:p w14:paraId="6CBF5BFA" w14:textId="77777777" w:rsidR="00271919" w:rsidRPr="00DF779F" w:rsidRDefault="00271919" w:rsidP="00B628F4">
      <w:pPr>
        <w:pStyle w:val="Bezodstpw"/>
        <w:widowControl w:val="0"/>
        <w:numPr>
          <w:ilvl w:val="1"/>
          <w:numId w:val="53"/>
        </w:numPr>
        <w:autoSpaceDE w:val="0"/>
        <w:autoSpaceDN w:val="0"/>
        <w:adjustRightInd w:val="0"/>
        <w:spacing w:before="0" w:after="0"/>
        <w:rPr>
          <w:rFonts w:cstheme="minorHAnsi"/>
        </w:rPr>
      </w:pPr>
      <w:r w:rsidRPr="00DF779F">
        <w:rPr>
          <w:rFonts w:cstheme="minorHAnsi"/>
        </w:rPr>
        <w:t>Zagospodarowanie przestrzeni w szafce winno umożliwić wygodne podłączenia kabli i przewodów, a wykonane podłączenia mają być przejrzyste i wygodne dla wykonywania prac. Powyższe wymaga pozostawienia odpowiedniej ilości wolnej przestrzeni.</w:t>
      </w:r>
    </w:p>
    <w:p w14:paraId="293D6A00" w14:textId="77777777" w:rsidR="00726CEC" w:rsidRPr="00726CEC" w:rsidRDefault="00726CEC" w:rsidP="00726CEC">
      <w:pPr>
        <w:pStyle w:val="Nagwek2"/>
      </w:pPr>
      <w:bookmarkStart w:id="123" w:name="_Toc216678521"/>
      <w:r w:rsidRPr="00726CEC">
        <w:t>Telemechanika</w:t>
      </w:r>
      <w:bookmarkEnd w:id="122"/>
      <w:bookmarkEnd w:id="123"/>
      <w:r w:rsidRPr="00726CEC">
        <w:t xml:space="preserve">  </w:t>
      </w:r>
    </w:p>
    <w:p w14:paraId="5832049F" w14:textId="77777777" w:rsidR="00271919" w:rsidRPr="00DF779F" w:rsidRDefault="00271919" w:rsidP="00271919">
      <w:pPr>
        <w:spacing w:before="0" w:after="0"/>
        <w:ind w:left="0" w:firstLine="340"/>
        <w:rPr>
          <w:rFonts w:asciiTheme="minorHAnsi" w:hAnsiTheme="minorHAnsi" w:cstheme="minorHAnsi"/>
          <w:sz w:val="22"/>
          <w:szCs w:val="22"/>
        </w:rPr>
      </w:pPr>
      <w:bookmarkStart w:id="124" w:name="_Toc66355937"/>
      <w:bookmarkStart w:id="125" w:name="_Toc198028127"/>
      <w:r w:rsidRPr="00DF779F">
        <w:rPr>
          <w:rFonts w:asciiTheme="minorHAnsi" w:hAnsiTheme="minorHAnsi" w:cstheme="minorHAnsi"/>
          <w:sz w:val="22"/>
          <w:szCs w:val="22"/>
        </w:rPr>
        <w:t xml:space="preserve">Urządzenia telemechaniki zainstalowane na stacji powinny być zaprojektowane zgodnie z zapisami WBSE (Tom02 oraz Tom11 Standardy Realizacji Telemechaniki): </w:t>
      </w:r>
      <w:proofErr w:type="spellStart"/>
      <w:r w:rsidRPr="00DF779F">
        <w:rPr>
          <w:rFonts w:asciiTheme="minorHAnsi" w:hAnsiTheme="minorHAnsi" w:cstheme="minorHAnsi"/>
          <w:sz w:val="22"/>
          <w:szCs w:val="22"/>
        </w:rPr>
        <w:t>SSiN</w:t>
      </w:r>
      <w:proofErr w:type="spellEnd"/>
      <w:r w:rsidRPr="00DF779F">
        <w:rPr>
          <w:rFonts w:asciiTheme="minorHAnsi" w:hAnsiTheme="minorHAnsi" w:cstheme="minorHAnsi"/>
          <w:sz w:val="22"/>
          <w:szCs w:val="22"/>
        </w:rPr>
        <w:t xml:space="preserve"> powinien mieć budowę rozproszoną, opartą o komunikację z zespołami zabezpieczeń i automatyki (EAZ) oraz z analizatorami jakości energii i innymi urządzeniami cyfrowymi z interfejsami komunikacyjnymi</w:t>
      </w:r>
    </w:p>
    <w:p w14:paraId="11E82E57"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centralnej sygnalizacji, zasilacze stacyjne, itp.),</w:t>
      </w:r>
    </w:p>
    <w:p w14:paraId="13468CA3"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telesterowanie i telesygnalizację łączników i automatyk rozdzielni 110 </w:t>
      </w:r>
      <w:proofErr w:type="spellStart"/>
      <w:r w:rsidRPr="00DF779F">
        <w:rPr>
          <w:rFonts w:cstheme="minorHAnsi"/>
        </w:rPr>
        <w:t>kV</w:t>
      </w:r>
      <w:proofErr w:type="spellEnd"/>
      <w:r w:rsidRPr="00DF779F">
        <w:rPr>
          <w:rFonts w:cstheme="minorHAnsi"/>
        </w:rPr>
        <w:t>,</w:t>
      </w:r>
    </w:p>
    <w:p w14:paraId="148DF234"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realizację funkcji blokad automatyk oraz pomiarów,</w:t>
      </w:r>
    </w:p>
    <w:p w14:paraId="24917615"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 xml:space="preserve">wizualizację stanu położenia łączników WN w systemie systemu sterowania i nadzoru </w:t>
      </w:r>
      <w:proofErr w:type="spellStart"/>
      <w:r w:rsidRPr="00DF779F">
        <w:rPr>
          <w:rFonts w:cstheme="minorHAnsi"/>
        </w:rPr>
        <w:t>WindEx</w:t>
      </w:r>
      <w:proofErr w:type="spellEnd"/>
      <w:r w:rsidRPr="00DF779F">
        <w:rPr>
          <w:rFonts w:cstheme="minorHAnsi"/>
        </w:rPr>
        <w:t>,</w:t>
      </w:r>
    </w:p>
    <w:p w14:paraId="7B6BB826"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sygnalizację ostrzegawczą w tym m.in. ppoż. oraz antywłamaniową,</w:t>
      </w:r>
    </w:p>
    <w:p w14:paraId="6E8496AB" w14:textId="77777777" w:rsidR="00271919" w:rsidRPr="00DF779F" w:rsidRDefault="00271919" w:rsidP="00B628F4">
      <w:pPr>
        <w:pStyle w:val="Bezodstpw"/>
        <w:widowControl w:val="0"/>
        <w:numPr>
          <w:ilvl w:val="1"/>
          <w:numId w:val="54"/>
        </w:numPr>
        <w:autoSpaceDE w:val="0"/>
        <w:autoSpaceDN w:val="0"/>
        <w:adjustRightInd w:val="0"/>
        <w:spacing w:before="0" w:after="0"/>
        <w:rPr>
          <w:rFonts w:cstheme="minorHAnsi"/>
        </w:rPr>
      </w:pPr>
      <w:r w:rsidRPr="00DF779F">
        <w:rPr>
          <w:rFonts w:cstheme="minorHAnsi"/>
        </w:rPr>
        <w:t>potrzeb własnych prądu stałego i przemiennego.</w:t>
      </w:r>
    </w:p>
    <w:p w14:paraId="6F950A8A" w14:textId="77777777" w:rsidR="00271919" w:rsidRPr="00DF779F" w:rsidRDefault="00271919" w:rsidP="00271919">
      <w:pPr>
        <w:spacing w:before="0" w:after="0"/>
        <w:ind w:left="0" w:firstLine="0"/>
        <w:rPr>
          <w:rFonts w:asciiTheme="minorHAnsi" w:hAnsiTheme="minorHAnsi" w:cstheme="minorHAnsi"/>
          <w:sz w:val="22"/>
          <w:szCs w:val="22"/>
        </w:rPr>
      </w:pPr>
      <w:r w:rsidRPr="00DF779F">
        <w:rPr>
          <w:rFonts w:asciiTheme="minorHAnsi" w:hAnsiTheme="minorHAnsi" w:cstheme="minorHAnsi"/>
          <w:sz w:val="22"/>
          <w:szCs w:val="22"/>
        </w:rPr>
        <w:t xml:space="preserve">Urządzenia telemechaniki powinny umożliwiać sterowanie aparaturą oraz automatykami z poziomu systemu sterowania i nadzoru sieci rozdzielczej PGE Dystrybucja S.A. Oddział Łódź –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 xml:space="preserve">. </w:t>
      </w:r>
    </w:p>
    <w:p w14:paraId="43C24A0B" w14:textId="77777777" w:rsidR="00271919" w:rsidRPr="00DF779F" w:rsidRDefault="00271919" w:rsidP="00271919">
      <w:pPr>
        <w:spacing w:before="0" w:after="0"/>
        <w:ind w:left="0" w:firstLine="0"/>
        <w:rPr>
          <w:rFonts w:asciiTheme="minorHAnsi" w:hAnsiTheme="minorHAnsi" w:cstheme="minorHAnsi"/>
          <w:sz w:val="22"/>
          <w:szCs w:val="22"/>
        </w:rPr>
      </w:pPr>
      <w:r w:rsidRPr="00DF779F">
        <w:rPr>
          <w:rFonts w:asciiTheme="minorHAnsi" w:hAnsiTheme="minorHAnsi" w:cstheme="minorHAnsi"/>
          <w:sz w:val="22"/>
          <w:szCs w:val="22"/>
        </w:rPr>
        <w:t>Sygnalizację należy doprowadzić do urządzeń zamontowanych w szafie w pomieszczeniu Łączności. W przypadku zastosowania przełącznika sieciowego konieczna jest unifikacja z przełącznikiem głównym stacyjnym.</w:t>
      </w:r>
    </w:p>
    <w:p w14:paraId="0F9F4FDB" w14:textId="77777777" w:rsidR="00271919" w:rsidRPr="00DF779F" w:rsidRDefault="00271919" w:rsidP="00271919">
      <w:pPr>
        <w:spacing w:before="0" w:after="0"/>
        <w:ind w:left="0" w:firstLine="0"/>
        <w:rPr>
          <w:rFonts w:asciiTheme="minorHAnsi" w:hAnsiTheme="minorHAnsi" w:cstheme="minorHAnsi"/>
          <w:sz w:val="22"/>
          <w:szCs w:val="22"/>
        </w:rPr>
      </w:pPr>
      <w:r w:rsidRPr="00DF779F">
        <w:rPr>
          <w:rFonts w:asciiTheme="minorHAnsi" w:hAnsiTheme="minorHAnsi" w:cstheme="minorHAnsi"/>
          <w:sz w:val="22"/>
          <w:szCs w:val="22"/>
        </w:rPr>
        <w:t>Wymagania ogólne:</w:t>
      </w:r>
    </w:p>
    <w:p w14:paraId="6DC73F73" w14:textId="77777777" w:rsidR="00271919" w:rsidRPr="00DF779F" w:rsidRDefault="00271919" w:rsidP="00B628F4">
      <w:pPr>
        <w:pStyle w:val="Bezodstpw"/>
        <w:widowControl w:val="0"/>
        <w:numPr>
          <w:ilvl w:val="1"/>
          <w:numId w:val="55"/>
        </w:numPr>
        <w:autoSpaceDE w:val="0"/>
        <w:autoSpaceDN w:val="0"/>
        <w:adjustRightInd w:val="0"/>
        <w:spacing w:before="0" w:after="0"/>
        <w:rPr>
          <w:rFonts w:cstheme="minorHAnsi"/>
        </w:rPr>
      </w:pPr>
      <w:r w:rsidRPr="00DF779F">
        <w:rPr>
          <w:rFonts w:cstheme="minorHAnsi"/>
        </w:rPr>
        <w:t>Zgodne z WBSE tom 11 Standardy realizacji Telemechaniki. Stacja 110 </w:t>
      </w:r>
      <w:proofErr w:type="spellStart"/>
      <w:r w:rsidRPr="00DF779F">
        <w:rPr>
          <w:rFonts w:cstheme="minorHAnsi"/>
        </w:rPr>
        <w:t>kV</w:t>
      </w:r>
      <w:proofErr w:type="spellEnd"/>
      <w:r w:rsidRPr="00DF779F">
        <w:rPr>
          <w:rFonts w:cstheme="minorHAnsi"/>
        </w:rPr>
        <w:t xml:space="preserve"> CPK znajdzie się na liście obiektów istotnych dla procedur ujętych w Planie Odbudowy zgodnie z Rozporządzeniem Komisji (UE) 2017/2196.</w:t>
      </w:r>
    </w:p>
    <w:p w14:paraId="0FDA1624" w14:textId="77777777" w:rsidR="00271919" w:rsidRPr="00DF779F" w:rsidRDefault="00271919" w:rsidP="00B628F4">
      <w:pPr>
        <w:pStyle w:val="Bezodstpw"/>
        <w:widowControl w:val="0"/>
        <w:numPr>
          <w:ilvl w:val="1"/>
          <w:numId w:val="55"/>
        </w:numPr>
        <w:autoSpaceDE w:val="0"/>
        <w:autoSpaceDN w:val="0"/>
        <w:adjustRightInd w:val="0"/>
        <w:spacing w:before="0" w:after="0"/>
        <w:rPr>
          <w:rFonts w:cstheme="minorHAnsi"/>
        </w:rPr>
      </w:pPr>
      <w:r w:rsidRPr="00DF779F">
        <w:rPr>
          <w:rFonts w:cstheme="minorHAnsi"/>
        </w:rPr>
        <w:t>Zamawiający nie przewiduje wykonania w stacji centrum nadzoru lokalnego i sterowania. (wyłączenie zapisów WBSE Tom 11: pkt.2.1.6 stanowisko lokalne)</w:t>
      </w:r>
    </w:p>
    <w:p w14:paraId="3C902431" w14:textId="77777777" w:rsidR="00271919" w:rsidRPr="00DF779F" w:rsidRDefault="00271919" w:rsidP="00B628F4">
      <w:pPr>
        <w:pStyle w:val="Bezodstpw"/>
        <w:widowControl w:val="0"/>
        <w:numPr>
          <w:ilvl w:val="1"/>
          <w:numId w:val="55"/>
        </w:numPr>
        <w:autoSpaceDE w:val="0"/>
        <w:autoSpaceDN w:val="0"/>
        <w:adjustRightInd w:val="0"/>
        <w:spacing w:before="0" w:after="0"/>
        <w:rPr>
          <w:rFonts w:cstheme="minorHAnsi"/>
        </w:rPr>
      </w:pPr>
      <w:r w:rsidRPr="00DF779F">
        <w:rPr>
          <w:rFonts w:cstheme="minorHAnsi"/>
        </w:rPr>
        <w:t>W obiektach związanych dostosować urządzenia do współpracy z systemem łączności światłowodowej ze stacją CPK.</w:t>
      </w:r>
    </w:p>
    <w:p w14:paraId="00C93FBA" w14:textId="77777777" w:rsidR="00271919" w:rsidRPr="00DF779F" w:rsidRDefault="00271919" w:rsidP="00271919">
      <w:pPr>
        <w:spacing w:before="0" w:after="0"/>
        <w:ind w:left="0" w:firstLine="0"/>
        <w:rPr>
          <w:rFonts w:asciiTheme="minorHAnsi" w:hAnsiTheme="minorHAnsi" w:cstheme="minorHAnsi"/>
          <w:sz w:val="22"/>
          <w:szCs w:val="22"/>
        </w:rPr>
      </w:pPr>
      <w:r w:rsidRPr="00DF779F">
        <w:rPr>
          <w:rFonts w:asciiTheme="minorHAnsi" w:hAnsiTheme="minorHAnsi" w:cstheme="minorHAnsi"/>
          <w:sz w:val="22"/>
          <w:szCs w:val="22"/>
        </w:rPr>
        <w:lastRenderedPageBreak/>
        <w:t>Należy przekazać ostateczną (oryginalną, edytowalną) wersję konfiguracji zabezpieczeń i sterownika telemechaniki (umożliwiającej odtworzenie działania urządzeń na innym zabezpieczeniu/sterowniku w przypadku awarii).</w:t>
      </w:r>
    </w:p>
    <w:p w14:paraId="439E6078" w14:textId="77777777" w:rsidR="00271919" w:rsidRPr="00DF779F" w:rsidRDefault="00271919" w:rsidP="00271919">
      <w:pPr>
        <w:spacing w:before="0" w:after="0"/>
        <w:ind w:left="0" w:firstLine="0"/>
        <w:rPr>
          <w:rFonts w:asciiTheme="minorHAnsi" w:hAnsiTheme="minorHAnsi" w:cstheme="minorHAnsi"/>
          <w:b/>
          <w:sz w:val="22"/>
          <w:szCs w:val="22"/>
        </w:rPr>
      </w:pPr>
    </w:p>
    <w:p w14:paraId="2DE7A148" w14:textId="77777777" w:rsidR="00271919" w:rsidRPr="00DF779F" w:rsidRDefault="00271919" w:rsidP="00271919">
      <w:pPr>
        <w:pStyle w:val="Bezodstpw"/>
        <w:spacing w:before="0" w:after="0"/>
        <w:ind w:left="357"/>
        <w:rPr>
          <w:rFonts w:cstheme="minorHAnsi"/>
          <w:u w:val="single"/>
        </w:rPr>
      </w:pPr>
      <w:r w:rsidRPr="00DF779F">
        <w:rPr>
          <w:rFonts w:cstheme="minorHAnsi"/>
          <w:u w:val="single"/>
        </w:rPr>
        <w:t>Kanalizacja</w:t>
      </w:r>
    </w:p>
    <w:p w14:paraId="2A230340" w14:textId="77777777" w:rsidR="00271919" w:rsidRPr="00DF779F" w:rsidRDefault="00271919" w:rsidP="00271919">
      <w:pPr>
        <w:spacing w:before="0" w:after="0"/>
        <w:ind w:left="0" w:firstLine="340"/>
        <w:rPr>
          <w:rFonts w:asciiTheme="minorHAnsi" w:hAnsiTheme="minorHAnsi" w:cstheme="minorHAnsi"/>
          <w:sz w:val="22"/>
          <w:szCs w:val="22"/>
        </w:rPr>
      </w:pPr>
      <w:r w:rsidRPr="00DF779F">
        <w:rPr>
          <w:rFonts w:asciiTheme="minorHAnsi" w:hAnsiTheme="minorHAnsi" w:cstheme="minorHAnsi"/>
          <w:sz w:val="22"/>
          <w:szCs w:val="22"/>
        </w:rPr>
        <w:t xml:space="preserve">Od pomieszczenia łączności do linii ogrodzenia należy wybudować kanalizację trójotworową i zakończyć w studni SK2 przed ogrodzeniem w miejscu, które należy przewidzieć na posadowienie w przyszłości kontenera o wymiarach 3m x 2,5m dla innych Operatorów. </w:t>
      </w:r>
    </w:p>
    <w:p w14:paraId="256DCEFD" w14:textId="77777777" w:rsidR="00726CEC" w:rsidRPr="00726CEC" w:rsidRDefault="00726CEC" w:rsidP="00726CEC">
      <w:pPr>
        <w:pStyle w:val="Nagwek2"/>
      </w:pPr>
      <w:bookmarkStart w:id="126" w:name="_Toc216678522"/>
      <w:r w:rsidRPr="00726CEC">
        <w:t>Potrzeby własne 230VAC i 220VDC, baterie akumulatorów</w:t>
      </w:r>
      <w:bookmarkEnd w:id="124"/>
      <w:bookmarkEnd w:id="125"/>
      <w:bookmarkEnd w:id="126"/>
    </w:p>
    <w:p w14:paraId="7007EEAD" w14:textId="77777777" w:rsidR="00271919" w:rsidRPr="004E3302"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bookmarkStart w:id="127" w:name="_Toc198028128"/>
      <w:r w:rsidRPr="004E3302">
        <w:rPr>
          <w:rFonts w:asciiTheme="minorHAnsi" w:hAnsiTheme="minorHAnsi" w:cstheme="minorHAnsi"/>
          <w:b/>
          <w:bCs/>
          <w:i/>
          <w:iCs/>
          <w:snapToGrid w:val="0"/>
          <w:sz w:val="22"/>
          <w:szCs w:val="22"/>
          <w:u w:val="single"/>
        </w:rPr>
        <w:t>ROZDZIELNIA PRĄDU PRZEMIENNEGO 230V AC</w:t>
      </w:r>
    </w:p>
    <w:p w14:paraId="7B5C51F7"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potrzeb własnych 400/230V prądu przemiennego (AC) musi być umieszczona w pomieszczeniu nastawni stacji.</w:t>
      </w:r>
    </w:p>
    <w:p w14:paraId="1FC158F5"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jednosystemowa, sekcjonowana. Każda sekcja zasilana kablami 0,4</w:t>
      </w:r>
      <w:r>
        <w:rPr>
          <w:rFonts w:asciiTheme="minorHAnsi" w:hAnsiTheme="minorHAnsi" w:cstheme="minorHAnsi"/>
          <w:sz w:val="22"/>
          <w:szCs w:val="22"/>
        </w:rPr>
        <w:t>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z transformatorów potrzeb własnych 15/0,4kV o mocy 315kVA, odpowiednio PW1 i PW2.</w:t>
      </w:r>
    </w:p>
    <w:p w14:paraId="577E7BF4"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Parametry znamionowe rozdzielnicy:</w:t>
      </w:r>
    </w:p>
    <w:p w14:paraId="2A662E63" w14:textId="77777777" w:rsidR="00271919" w:rsidRPr="00DF779F" w:rsidRDefault="00271919" w:rsidP="00B628F4">
      <w:pPr>
        <w:widowControl w:val="0"/>
        <w:numPr>
          <w:ilvl w:val="1"/>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napięcie znamionowe:</w:t>
      </w:r>
      <w:r w:rsidRPr="00DF779F">
        <w:rPr>
          <w:rFonts w:asciiTheme="minorHAnsi" w:hAnsiTheme="minorHAnsi" w:cstheme="minorHAnsi"/>
          <w:sz w:val="22"/>
          <w:szCs w:val="22"/>
        </w:rPr>
        <w:tab/>
        <w:t>400/230 V AC,</w:t>
      </w:r>
    </w:p>
    <w:p w14:paraId="2D0E5146" w14:textId="77777777" w:rsidR="00271919" w:rsidRPr="00DF779F" w:rsidRDefault="00271919" w:rsidP="00B628F4">
      <w:pPr>
        <w:widowControl w:val="0"/>
        <w:numPr>
          <w:ilvl w:val="1"/>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częstotliwość: </w:t>
      </w:r>
      <w:r w:rsidRPr="00DF779F">
        <w:rPr>
          <w:rFonts w:asciiTheme="minorHAnsi" w:hAnsiTheme="minorHAnsi" w:cstheme="minorHAnsi"/>
          <w:sz w:val="22"/>
          <w:szCs w:val="22"/>
        </w:rPr>
        <w:tab/>
        <w:t>50Hz,</w:t>
      </w:r>
    </w:p>
    <w:p w14:paraId="1950C4F2" w14:textId="77777777" w:rsidR="00271919" w:rsidRPr="00DF779F" w:rsidRDefault="00271919" w:rsidP="00B628F4">
      <w:pPr>
        <w:widowControl w:val="0"/>
        <w:numPr>
          <w:ilvl w:val="1"/>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stopień ochrony: </w:t>
      </w:r>
      <w:r w:rsidRPr="00DF779F">
        <w:rPr>
          <w:rFonts w:asciiTheme="minorHAnsi" w:hAnsiTheme="minorHAnsi" w:cstheme="minorHAnsi"/>
          <w:sz w:val="22"/>
          <w:szCs w:val="22"/>
        </w:rPr>
        <w:tab/>
        <w:t>IP32,</w:t>
      </w:r>
    </w:p>
    <w:p w14:paraId="4AA03B93" w14:textId="77777777" w:rsidR="00271919" w:rsidRPr="00DF779F" w:rsidRDefault="00271919" w:rsidP="00B628F4">
      <w:pPr>
        <w:widowControl w:val="0"/>
        <w:numPr>
          <w:ilvl w:val="1"/>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klasa izolacji: </w:t>
      </w:r>
      <w:r w:rsidRPr="00DF779F">
        <w:rPr>
          <w:rFonts w:asciiTheme="minorHAnsi" w:hAnsiTheme="minorHAnsi" w:cstheme="minorHAnsi"/>
          <w:sz w:val="22"/>
          <w:szCs w:val="22"/>
        </w:rPr>
        <w:tab/>
        <w:t>1.</w:t>
      </w:r>
    </w:p>
    <w:p w14:paraId="001A5112"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Rozdzielnica winna być dostarczona w wykonaniu trójszafowym. Przeszklone, niebarwione drzwi szaf powinny być wyposażone w </w:t>
      </w:r>
      <w:proofErr w:type="spellStart"/>
      <w:r w:rsidRPr="00DF779F">
        <w:rPr>
          <w:rFonts w:asciiTheme="minorHAnsi" w:hAnsiTheme="minorHAnsi" w:cstheme="minorHAnsi"/>
          <w:sz w:val="22"/>
          <w:szCs w:val="22"/>
        </w:rPr>
        <w:t>bezkluczykowe</w:t>
      </w:r>
      <w:proofErr w:type="spellEnd"/>
      <w:r w:rsidRPr="00DF779F">
        <w:rPr>
          <w:rFonts w:asciiTheme="minorHAnsi" w:hAnsiTheme="minorHAnsi" w:cstheme="minorHAnsi"/>
          <w:sz w:val="22"/>
          <w:szCs w:val="22"/>
        </w:rPr>
        <w:t xml:space="preserve"> zamki. Na płycie czołowej szafy powinien znajdować się czytelny schemat synoptyczny PW AC ze sterownikami łączników i odwzorowaniem stanu łączników oraz z analogowymi miernikami prądów i napięć.</w:t>
      </w:r>
    </w:p>
    <w:p w14:paraId="0CA4CAC7"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Wyposażona w łączniki z napędem silnikowym lub styczniki w polach zasilających i sprzęgle.</w:t>
      </w:r>
    </w:p>
    <w:p w14:paraId="2903E05B"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wyposażona w automatykę SZR 0,4kV.</w:t>
      </w:r>
    </w:p>
    <w:p w14:paraId="14C2BD6C"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Układ automatyki SZR 0,4kV powinien zostać wyposażony w sterowniki do ręcznego sterowania oraz zdalnego sterownia poprzez układ telemechaniki wyłącznikami lub stycznikami, lampki kontrolne stanu położenia poszczególnych wyłączników, sygnalizację obecności napięć zasilających, przełącznik rodzaju pracy automatyki SZR oraz możliwość sterowania (zablokuj/odblokuj) poprzez układ telemechaniki.</w:t>
      </w:r>
    </w:p>
    <w:p w14:paraId="0DE98F93"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0,4kV musi być wyposażona w układy pomiaru energii elektrycznej.</w:t>
      </w:r>
    </w:p>
    <w:p w14:paraId="5435A021"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wyposażona w zabezpieczenia obwodów zasilających i odpływowych przy użyciu rozłączników bezpiecznikowych.</w:t>
      </w:r>
    </w:p>
    <w:p w14:paraId="284CEA25"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u w:val="single"/>
        </w:rPr>
      </w:pPr>
      <w:r w:rsidRPr="00DF779F">
        <w:rPr>
          <w:rFonts w:asciiTheme="minorHAnsi" w:hAnsiTheme="minorHAnsi" w:cstheme="minorHAnsi"/>
          <w:sz w:val="22"/>
          <w:szCs w:val="22"/>
        </w:rPr>
        <w:t>Rozdzielnica z układami oświetlenia awaryjnego i ogrzewania, pomiarów napięć, prądów i energii, układami kontroli i sygnalizacji stanu pracy.</w:t>
      </w:r>
    </w:p>
    <w:p w14:paraId="29BF48A3" w14:textId="77777777" w:rsidR="00271919" w:rsidRPr="00DF779F" w:rsidRDefault="00271919" w:rsidP="00B628F4">
      <w:pPr>
        <w:numPr>
          <w:ilvl w:val="0"/>
          <w:numId w:val="58"/>
        </w:numPr>
        <w:spacing w:before="0" w:after="0"/>
        <w:jc w:val="left"/>
        <w:rPr>
          <w:rFonts w:asciiTheme="minorHAnsi" w:hAnsiTheme="minorHAnsi" w:cstheme="minorHAnsi"/>
          <w:sz w:val="22"/>
          <w:szCs w:val="22"/>
        </w:rPr>
      </w:pPr>
      <w:r w:rsidRPr="00DF779F">
        <w:rPr>
          <w:rFonts w:asciiTheme="minorHAnsi" w:hAnsiTheme="minorHAnsi" w:cstheme="minorHAnsi"/>
          <w:sz w:val="22"/>
          <w:szCs w:val="22"/>
        </w:rPr>
        <w:t>Możliwość przyłączenia agregatu prądotwórczego.</w:t>
      </w:r>
    </w:p>
    <w:p w14:paraId="2A525BB9" w14:textId="77777777" w:rsidR="00271919" w:rsidRPr="00DF779F" w:rsidRDefault="00271919" w:rsidP="00B628F4">
      <w:pPr>
        <w:numPr>
          <w:ilvl w:val="0"/>
          <w:numId w:val="58"/>
        </w:numPr>
        <w:spacing w:before="0" w:after="0"/>
        <w:jc w:val="left"/>
        <w:rPr>
          <w:rFonts w:asciiTheme="minorHAnsi" w:hAnsiTheme="minorHAnsi" w:cstheme="minorHAnsi"/>
          <w:sz w:val="22"/>
          <w:szCs w:val="22"/>
        </w:rPr>
      </w:pPr>
      <w:r w:rsidRPr="00DF779F">
        <w:rPr>
          <w:rFonts w:asciiTheme="minorHAnsi" w:hAnsiTheme="minorHAnsi" w:cstheme="minorHAnsi"/>
          <w:sz w:val="22"/>
          <w:szCs w:val="22"/>
        </w:rPr>
        <w:t>Możliwość założenia uziemiaczy przenośnych w miejscach zasilania rozdzielni.</w:t>
      </w:r>
    </w:p>
    <w:p w14:paraId="34959F20" w14:textId="77777777" w:rsidR="00271919" w:rsidRPr="00DF779F" w:rsidRDefault="00271919" w:rsidP="00B628F4">
      <w:pPr>
        <w:widowControl w:val="0"/>
        <w:numPr>
          <w:ilvl w:val="0"/>
          <w:numId w:val="58"/>
        </w:numPr>
        <w:spacing w:before="0" w:after="0"/>
        <w:outlineLvl w:val="3"/>
        <w:rPr>
          <w:rFonts w:asciiTheme="minorHAnsi" w:hAnsiTheme="minorHAnsi" w:cstheme="minorHAnsi"/>
          <w:sz w:val="22"/>
          <w:szCs w:val="22"/>
          <w:u w:val="single"/>
        </w:rPr>
      </w:pPr>
      <w:r w:rsidRPr="00DF779F">
        <w:rPr>
          <w:rFonts w:asciiTheme="minorHAnsi" w:hAnsiTheme="minorHAnsi" w:cstheme="minorHAnsi"/>
          <w:sz w:val="22"/>
          <w:szCs w:val="22"/>
        </w:rPr>
        <w:t>Funkcjonalność rozdzielnic:</w:t>
      </w:r>
    </w:p>
    <w:p w14:paraId="6B065D13"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układ automatyki SZR:</w:t>
      </w:r>
    </w:p>
    <w:p w14:paraId="6E2D828F" w14:textId="77777777" w:rsidR="00271919" w:rsidRPr="00DF779F" w:rsidRDefault="00271919" w:rsidP="00B628F4">
      <w:pPr>
        <w:widowControl w:val="0"/>
        <w:numPr>
          <w:ilvl w:val="2"/>
          <w:numId w:val="58"/>
        </w:numPr>
        <w:spacing w:before="0" w:after="0"/>
        <w:outlineLvl w:val="5"/>
        <w:rPr>
          <w:rFonts w:asciiTheme="minorHAnsi" w:hAnsiTheme="minorHAnsi" w:cstheme="minorHAnsi"/>
          <w:sz w:val="22"/>
          <w:szCs w:val="22"/>
        </w:rPr>
      </w:pPr>
      <w:r w:rsidRPr="00DF779F">
        <w:rPr>
          <w:rFonts w:asciiTheme="minorHAnsi" w:hAnsiTheme="minorHAnsi" w:cstheme="minorHAnsi"/>
          <w:sz w:val="22"/>
          <w:szCs w:val="22"/>
        </w:rPr>
        <w:t>działający przy założeniu, że każdy z transformatorów potrzeb własnych. pracuje po stronie 0,4kV normalnie na wydzielone sekcje szyn. Automatyka działa ze zwłoką czasową przy zaniku napięcia na całej sekcji lub w dowolnej fazie, a po ustąpieniu zakłócenia powoduje przywrócenie układu zasilania do stanu wyjściowego;</w:t>
      </w:r>
    </w:p>
    <w:p w14:paraId="62F68E13" w14:textId="77777777" w:rsidR="00271919" w:rsidRPr="00DF779F" w:rsidRDefault="00271919" w:rsidP="00B628F4">
      <w:pPr>
        <w:numPr>
          <w:ilvl w:val="2"/>
          <w:numId w:val="58"/>
        </w:numPr>
        <w:spacing w:before="0" w:after="0"/>
        <w:jc w:val="left"/>
        <w:rPr>
          <w:rFonts w:asciiTheme="minorHAnsi" w:hAnsiTheme="minorHAnsi" w:cstheme="minorHAnsi"/>
          <w:sz w:val="22"/>
          <w:szCs w:val="22"/>
        </w:rPr>
      </w:pPr>
      <w:r w:rsidRPr="00DF779F">
        <w:rPr>
          <w:rFonts w:asciiTheme="minorHAnsi" w:hAnsiTheme="minorHAnsi" w:cstheme="minorHAnsi"/>
          <w:sz w:val="22"/>
          <w:szCs w:val="22"/>
        </w:rPr>
        <w:t>automatyka i układ sterowania ręcznego lub zdalnego nie zezwalają na równoległą pracę transformatorów (SZR z przerwą);</w:t>
      </w:r>
    </w:p>
    <w:p w14:paraId="27B55EEC" w14:textId="77777777" w:rsidR="00271919" w:rsidRPr="00DF779F" w:rsidRDefault="00271919" w:rsidP="00B628F4">
      <w:pPr>
        <w:widowControl w:val="0"/>
        <w:numPr>
          <w:ilvl w:val="2"/>
          <w:numId w:val="58"/>
        </w:numPr>
        <w:spacing w:before="0" w:after="0"/>
        <w:outlineLvl w:val="5"/>
        <w:rPr>
          <w:rFonts w:asciiTheme="minorHAnsi" w:hAnsiTheme="minorHAnsi" w:cstheme="minorHAnsi"/>
          <w:sz w:val="22"/>
          <w:szCs w:val="22"/>
        </w:rPr>
      </w:pPr>
      <w:r w:rsidRPr="00DF779F">
        <w:rPr>
          <w:rFonts w:asciiTheme="minorHAnsi" w:hAnsiTheme="minorHAnsi" w:cstheme="minorHAnsi"/>
          <w:sz w:val="22"/>
          <w:szCs w:val="22"/>
        </w:rPr>
        <w:t>przekazanie użytkownikowi oprogramowanie umożliwiające jej konfiguracje i</w:t>
      </w:r>
      <w:r>
        <w:rPr>
          <w:rFonts w:asciiTheme="minorHAnsi" w:hAnsiTheme="minorHAnsi" w:cstheme="minorHAnsi"/>
          <w:sz w:val="22"/>
          <w:szCs w:val="22"/>
        </w:rPr>
        <w:t> </w:t>
      </w:r>
      <w:r w:rsidRPr="00DF779F">
        <w:rPr>
          <w:rFonts w:asciiTheme="minorHAnsi" w:hAnsiTheme="minorHAnsi" w:cstheme="minorHAnsi"/>
          <w:sz w:val="22"/>
          <w:szCs w:val="22"/>
        </w:rPr>
        <w:t>eksploatację.</w:t>
      </w:r>
    </w:p>
    <w:p w14:paraId="74074C69" w14:textId="77777777" w:rsidR="00271919" w:rsidRPr="00DF779F" w:rsidRDefault="00271919" w:rsidP="00B628F4">
      <w:pPr>
        <w:widowControl w:val="0"/>
        <w:numPr>
          <w:ilvl w:val="2"/>
          <w:numId w:val="58"/>
        </w:numPr>
        <w:spacing w:before="0" w:after="0"/>
        <w:outlineLvl w:val="5"/>
        <w:rPr>
          <w:rFonts w:asciiTheme="minorHAnsi" w:hAnsiTheme="minorHAnsi" w:cstheme="minorHAnsi"/>
          <w:sz w:val="22"/>
          <w:szCs w:val="22"/>
        </w:rPr>
      </w:pPr>
      <w:r w:rsidRPr="00DF779F">
        <w:rPr>
          <w:rFonts w:asciiTheme="minorHAnsi" w:hAnsiTheme="minorHAnsi" w:cstheme="minorHAnsi"/>
          <w:sz w:val="22"/>
          <w:szCs w:val="22"/>
        </w:rPr>
        <w:lastRenderedPageBreak/>
        <w:t>urządzenie automatyki SZR 0,4kV ma być przystosowane do podtrzymania oprogramowania (nieulotnej pamięci) bez dodatkowego źródła zasilania,</w:t>
      </w:r>
    </w:p>
    <w:p w14:paraId="570B5FB0"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układ automatyki załączania ogrzewania stacji;</w:t>
      </w:r>
    </w:p>
    <w:p w14:paraId="6A62D367"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układ załączania oświetlenia zewnętrznego terenu stacji;</w:t>
      </w:r>
    </w:p>
    <w:p w14:paraId="6C5508E8"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gniazdo jednofazowe;</w:t>
      </w:r>
    </w:p>
    <w:p w14:paraId="15439B1A"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odbiory:</w:t>
      </w:r>
    </w:p>
    <w:p w14:paraId="5DA200CC"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 xml:space="preserve">odpływy trójfazowe min. 15 z każdej sekcji, </w:t>
      </w:r>
    </w:p>
    <w:p w14:paraId="2B056F79"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 xml:space="preserve">odpływy jednofazowe min. 24 z każdej sekcji, </w:t>
      </w:r>
    </w:p>
    <w:p w14:paraId="0A9234E0" w14:textId="77777777" w:rsidR="00271919" w:rsidRPr="00DF779F" w:rsidRDefault="00271919" w:rsidP="00B628F4">
      <w:pPr>
        <w:numPr>
          <w:ilvl w:val="2"/>
          <w:numId w:val="58"/>
        </w:numPr>
        <w:spacing w:before="0" w:after="0"/>
        <w:jc w:val="left"/>
        <w:rPr>
          <w:rFonts w:asciiTheme="minorHAnsi" w:hAnsiTheme="minorHAnsi" w:cstheme="minorHAnsi"/>
          <w:sz w:val="22"/>
          <w:szCs w:val="22"/>
        </w:rPr>
      </w:pPr>
      <w:r w:rsidRPr="00DF779F">
        <w:rPr>
          <w:rFonts w:asciiTheme="minorHAnsi" w:hAnsiTheme="minorHAnsi" w:cstheme="minorHAnsi"/>
          <w:sz w:val="22"/>
          <w:szCs w:val="22"/>
        </w:rPr>
        <w:t>w każdej sekcji należy przewidzieć min 30 % rezerwowych obwodów lecz nie mniej niż w punktach powyżej.</w:t>
      </w:r>
    </w:p>
    <w:p w14:paraId="26032688"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typy i wartości zabezpieczeń jedno lub trójfazowych dostosowane do zainstalowanych odbiorników i uzgodnione z Zamawiającym;</w:t>
      </w:r>
    </w:p>
    <w:p w14:paraId="61E9E8E0"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ochronę przepięciową obu sekcji;</w:t>
      </w:r>
    </w:p>
    <w:p w14:paraId="6597BF6D"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pomiary:</w:t>
      </w:r>
    </w:p>
    <w:p w14:paraId="0997A193"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półpośredni pomiar energii czynnej z transmisją (liczniki energii przeniesione z istniejącej rozdzielni),</w:t>
      </w:r>
    </w:p>
    <w:p w14:paraId="191E4A3D"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pomiar fazowych i międzyprzewodowych napięć na każdej sekcji,</w:t>
      </w:r>
    </w:p>
    <w:p w14:paraId="3A12C4BA"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pomiar prądów fazowych.</w:t>
      </w:r>
    </w:p>
    <w:p w14:paraId="7D11E0BE"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sygnalizacja centralna i telesygnalizacja musi współpracować z zainstalowanym systemem;</w:t>
      </w:r>
    </w:p>
    <w:p w14:paraId="31E7DCAC" w14:textId="77777777" w:rsidR="00271919" w:rsidRPr="00DF779F" w:rsidRDefault="00271919" w:rsidP="00B628F4">
      <w:pPr>
        <w:widowControl w:val="0"/>
        <w:numPr>
          <w:ilvl w:val="1"/>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telesygnalizacja i telesterowanie (uzgodniona z zamawiającym);</w:t>
      </w:r>
    </w:p>
    <w:p w14:paraId="270991DF" w14:textId="77777777" w:rsidR="00271919" w:rsidRPr="00DF779F" w:rsidRDefault="00271919" w:rsidP="00B628F4">
      <w:pPr>
        <w:widowControl w:val="0"/>
        <w:numPr>
          <w:ilvl w:val="1"/>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 xml:space="preserve">synoptyka układu połączeń edytowana w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w:t>
      </w:r>
    </w:p>
    <w:p w14:paraId="352DD441" w14:textId="77777777" w:rsidR="00271919" w:rsidRPr="00DF779F" w:rsidRDefault="00271919" w:rsidP="00B628F4">
      <w:pPr>
        <w:widowControl w:val="0"/>
        <w:numPr>
          <w:ilvl w:val="1"/>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 xml:space="preserve">rozdzielnica musi posiadać czytelny schemat synoptyczny z pomiarem napięcia i prądu na każdej sekcji w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w:t>
      </w:r>
    </w:p>
    <w:p w14:paraId="3A349CF4" w14:textId="77777777" w:rsidR="00271919" w:rsidRPr="00DF779F" w:rsidRDefault="00271919" w:rsidP="00B628F4">
      <w:pPr>
        <w:widowControl w:val="0"/>
        <w:numPr>
          <w:ilvl w:val="1"/>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 xml:space="preserve">stan położenia automatyki SZR na mapie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w:t>
      </w:r>
    </w:p>
    <w:p w14:paraId="0F76003B" w14:textId="77777777" w:rsidR="00271919" w:rsidRPr="00DF779F" w:rsidRDefault="00271919" w:rsidP="00B628F4">
      <w:pPr>
        <w:widowControl w:val="0"/>
        <w:numPr>
          <w:ilvl w:val="1"/>
          <w:numId w:val="58"/>
        </w:numPr>
        <w:spacing w:before="0" w:after="0"/>
        <w:ind w:left="1434" w:hanging="357"/>
        <w:outlineLvl w:val="4"/>
        <w:rPr>
          <w:rFonts w:asciiTheme="minorHAnsi" w:hAnsiTheme="minorHAnsi" w:cstheme="minorHAnsi"/>
          <w:sz w:val="22"/>
          <w:szCs w:val="22"/>
        </w:rPr>
      </w:pPr>
      <w:r w:rsidRPr="00DF779F">
        <w:rPr>
          <w:rFonts w:asciiTheme="minorHAnsi" w:hAnsiTheme="minorHAnsi" w:cstheme="minorHAnsi"/>
          <w:sz w:val="22"/>
          <w:szCs w:val="22"/>
        </w:rPr>
        <w:t>telesygnalizacja ostrzegawcza ( wymagana ) o:</w:t>
      </w:r>
    </w:p>
    <w:p w14:paraId="3CF384C4"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zaniku napięcia zasilania z PW1 i PW2,</w:t>
      </w:r>
    </w:p>
    <w:p w14:paraId="653928EB"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zaniku napięcia na sekcji 1 i 2,</w:t>
      </w:r>
    </w:p>
    <w:p w14:paraId="5CE3B7C8" w14:textId="77777777" w:rsidR="00271919" w:rsidRPr="00DF779F" w:rsidRDefault="00271919" w:rsidP="00B628F4">
      <w:pPr>
        <w:widowControl w:val="0"/>
        <w:numPr>
          <w:ilvl w:val="2"/>
          <w:numId w:val="58"/>
        </w:numPr>
        <w:spacing w:before="0" w:after="0"/>
        <w:outlineLvl w:val="4"/>
        <w:rPr>
          <w:rFonts w:asciiTheme="minorHAnsi" w:hAnsiTheme="minorHAnsi" w:cstheme="minorHAnsi"/>
          <w:sz w:val="22"/>
          <w:szCs w:val="22"/>
        </w:rPr>
      </w:pPr>
      <w:r w:rsidRPr="00DF779F">
        <w:rPr>
          <w:rFonts w:asciiTheme="minorHAnsi" w:hAnsiTheme="minorHAnsi" w:cstheme="minorHAnsi"/>
          <w:sz w:val="22"/>
          <w:szCs w:val="22"/>
        </w:rPr>
        <w:t>awarii i odstawieniu SZR.</w:t>
      </w:r>
    </w:p>
    <w:p w14:paraId="270E4987" w14:textId="77777777" w:rsidR="00271919" w:rsidRPr="00DF779F" w:rsidRDefault="00271919" w:rsidP="00271919">
      <w:pPr>
        <w:widowControl w:val="0"/>
        <w:ind w:left="2160"/>
        <w:outlineLvl w:val="4"/>
        <w:rPr>
          <w:rFonts w:asciiTheme="minorHAnsi" w:hAnsiTheme="minorHAnsi" w:cstheme="minorHAnsi"/>
          <w:sz w:val="22"/>
          <w:szCs w:val="22"/>
        </w:rPr>
      </w:pPr>
    </w:p>
    <w:p w14:paraId="6A2779A9" w14:textId="77777777" w:rsidR="00271919" w:rsidRPr="004E3302"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sidRPr="004E3302">
        <w:rPr>
          <w:rFonts w:asciiTheme="minorHAnsi" w:hAnsiTheme="minorHAnsi" w:cstheme="minorHAnsi"/>
          <w:b/>
          <w:bCs/>
          <w:i/>
          <w:iCs/>
          <w:snapToGrid w:val="0"/>
          <w:sz w:val="22"/>
          <w:szCs w:val="22"/>
          <w:u w:val="single"/>
        </w:rPr>
        <w:t>ROZDZIELNIA PRĄDU STAŁEGO 220V DC</w:t>
      </w:r>
    </w:p>
    <w:p w14:paraId="07733C63" w14:textId="77777777" w:rsidR="00271919" w:rsidRPr="00DF779F" w:rsidRDefault="00271919" w:rsidP="00271919">
      <w:pPr>
        <w:ind w:left="0" w:firstLine="714"/>
        <w:rPr>
          <w:rFonts w:asciiTheme="minorHAnsi" w:hAnsiTheme="minorHAnsi" w:cstheme="minorHAnsi"/>
          <w:sz w:val="22"/>
          <w:szCs w:val="22"/>
        </w:rPr>
      </w:pPr>
      <w:r w:rsidRPr="00DF779F">
        <w:rPr>
          <w:rFonts w:asciiTheme="minorHAnsi" w:hAnsiTheme="minorHAnsi" w:cstheme="minorHAnsi"/>
          <w:sz w:val="22"/>
          <w:szCs w:val="22"/>
        </w:rPr>
        <w:t>Rozdzielnica potrzeb własnych 220V prądu stałego (DC) w każdej stacji musi spełniać nw. wymagania:</w:t>
      </w:r>
    </w:p>
    <w:p w14:paraId="6AE05C55"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potrzeb własnych prądu stałego 220V DC zasilać będzie wszystkie układy automatyki sieciowej EAZ a także obwody sterownicze i pomocnicze;</w:t>
      </w:r>
    </w:p>
    <w:p w14:paraId="3C4315D3"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Parametry znamionowe rozdzielnicy:</w:t>
      </w:r>
    </w:p>
    <w:p w14:paraId="74A91DAF" w14:textId="77777777" w:rsidR="00271919" w:rsidRPr="00DF779F" w:rsidRDefault="00271919" w:rsidP="00B628F4">
      <w:pPr>
        <w:numPr>
          <w:ilvl w:val="0"/>
          <w:numId w:val="57"/>
        </w:numPr>
        <w:tabs>
          <w:tab w:val="left" w:pos="1100"/>
          <w:tab w:val="left" w:pos="3300"/>
        </w:tabs>
        <w:spacing w:before="0" w:after="0"/>
        <w:ind w:left="1037" w:hanging="357"/>
        <w:rPr>
          <w:rFonts w:asciiTheme="minorHAnsi" w:hAnsiTheme="minorHAnsi" w:cstheme="minorHAnsi"/>
          <w:sz w:val="22"/>
          <w:szCs w:val="22"/>
        </w:rPr>
      </w:pPr>
      <w:r w:rsidRPr="00DF779F">
        <w:rPr>
          <w:rFonts w:asciiTheme="minorHAnsi" w:hAnsiTheme="minorHAnsi" w:cstheme="minorHAnsi"/>
          <w:sz w:val="22"/>
          <w:szCs w:val="22"/>
        </w:rPr>
        <w:t>Napięcie znamionowe:</w:t>
      </w:r>
      <w:r w:rsidRPr="00DF779F">
        <w:rPr>
          <w:rFonts w:asciiTheme="minorHAnsi" w:hAnsiTheme="minorHAnsi" w:cstheme="minorHAnsi"/>
          <w:sz w:val="22"/>
          <w:szCs w:val="22"/>
        </w:rPr>
        <w:tab/>
        <w:t>220 V DC,</w:t>
      </w:r>
    </w:p>
    <w:p w14:paraId="16E4C135" w14:textId="77777777" w:rsidR="00271919" w:rsidRPr="00DF779F" w:rsidRDefault="00271919" w:rsidP="00B628F4">
      <w:pPr>
        <w:numPr>
          <w:ilvl w:val="0"/>
          <w:numId w:val="57"/>
        </w:numPr>
        <w:tabs>
          <w:tab w:val="left" w:pos="1100"/>
          <w:tab w:val="left" w:pos="3300"/>
        </w:tabs>
        <w:spacing w:before="0" w:after="0"/>
        <w:ind w:left="1037" w:hanging="357"/>
        <w:rPr>
          <w:rFonts w:asciiTheme="minorHAnsi" w:hAnsiTheme="minorHAnsi" w:cstheme="minorHAnsi"/>
          <w:sz w:val="22"/>
          <w:szCs w:val="22"/>
        </w:rPr>
      </w:pPr>
      <w:r w:rsidRPr="00DF779F">
        <w:rPr>
          <w:rFonts w:asciiTheme="minorHAnsi" w:hAnsiTheme="minorHAnsi" w:cstheme="minorHAnsi"/>
          <w:sz w:val="22"/>
          <w:szCs w:val="22"/>
        </w:rPr>
        <w:t>Stopień ochrony:</w:t>
      </w:r>
      <w:r w:rsidRPr="00DF779F">
        <w:rPr>
          <w:rFonts w:asciiTheme="minorHAnsi" w:hAnsiTheme="minorHAnsi" w:cstheme="minorHAnsi"/>
          <w:sz w:val="22"/>
          <w:szCs w:val="22"/>
        </w:rPr>
        <w:tab/>
        <w:t>IP32,</w:t>
      </w:r>
    </w:p>
    <w:p w14:paraId="60D4C0D4" w14:textId="77777777" w:rsidR="00271919" w:rsidRPr="00DF779F" w:rsidRDefault="00271919" w:rsidP="00B628F4">
      <w:pPr>
        <w:numPr>
          <w:ilvl w:val="0"/>
          <w:numId w:val="57"/>
        </w:numPr>
        <w:tabs>
          <w:tab w:val="left" w:pos="1100"/>
          <w:tab w:val="left" w:pos="3300"/>
        </w:tabs>
        <w:spacing w:before="0" w:after="0"/>
        <w:ind w:left="1037" w:hanging="357"/>
        <w:rPr>
          <w:rFonts w:asciiTheme="minorHAnsi" w:hAnsiTheme="minorHAnsi" w:cstheme="minorHAnsi"/>
          <w:sz w:val="22"/>
          <w:szCs w:val="22"/>
        </w:rPr>
      </w:pPr>
      <w:r w:rsidRPr="00DF779F">
        <w:rPr>
          <w:rFonts w:asciiTheme="minorHAnsi" w:hAnsiTheme="minorHAnsi" w:cstheme="minorHAnsi"/>
          <w:sz w:val="22"/>
          <w:szCs w:val="22"/>
        </w:rPr>
        <w:t>Klasa izolacji:</w:t>
      </w:r>
      <w:r w:rsidRPr="00DF779F">
        <w:rPr>
          <w:rFonts w:asciiTheme="minorHAnsi" w:hAnsiTheme="minorHAnsi" w:cstheme="minorHAnsi"/>
          <w:sz w:val="22"/>
          <w:szCs w:val="22"/>
        </w:rPr>
        <w:tab/>
        <w:t>1;</w:t>
      </w:r>
    </w:p>
    <w:p w14:paraId="5CF67628"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wykonana, jako jednosystemowa, jednosekcyjna;</w:t>
      </w:r>
    </w:p>
    <w:p w14:paraId="761FC102"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Rozdzielnica winna być dostarczona w wykonaniu dwuszafowym. Przeszklone, niebarwione drzwi szaf powinny być wyposażone w </w:t>
      </w:r>
      <w:proofErr w:type="spellStart"/>
      <w:r w:rsidRPr="00DF779F">
        <w:rPr>
          <w:rFonts w:asciiTheme="minorHAnsi" w:hAnsiTheme="minorHAnsi" w:cstheme="minorHAnsi"/>
          <w:sz w:val="22"/>
          <w:szCs w:val="22"/>
        </w:rPr>
        <w:t>bezkluczykowe</w:t>
      </w:r>
      <w:proofErr w:type="spellEnd"/>
      <w:r w:rsidRPr="00DF779F">
        <w:rPr>
          <w:rFonts w:asciiTheme="minorHAnsi" w:hAnsiTheme="minorHAnsi" w:cstheme="minorHAnsi"/>
          <w:sz w:val="22"/>
          <w:szCs w:val="22"/>
        </w:rPr>
        <w:t xml:space="preserve"> zamki. Za szybami na płytach czołowych szaf powinien znajdować się czytelny schemat synoptyczny ze sterownikami łączników i odwzorowaniem stanu łączników oraz z analogowymi miernikami prądów i napięć;</w:t>
      </w:r>
    </w:p>
    <w:p w14:paraId="3B3C59D2"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z układami oświetlenia awaryjnego, pomiarów napięć, prądów i energii, układami kontroli i sygnalizacji stanu pracy;</w:t>
      </w:r>
    </w:p>
    <w:p w14:paraId="154E9CF1"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współpracuje z dwoma prostownikami i dwoma bateriami akumulatorów. Tryb pracy układu prostownik</w:t>
      </w:r>
      <w:r w:rsidRPr="00DF779F">
        <w:rPr>
          <w:rFonts w:asciiTheme="minorHAnsi" w:hAnsiTheme="minorHAnsi" w:cstheme="minorHAnsi"/>
          <w:sz w:val="22"/>
          <w:szCs w:val="22"/>
        </w:rPr>
        <w:noBreakHyphen/>
        <w:t>bateria: praca buforowa;</w:t>
      </w:r>
    </w:p>
    <w:p w14:paraId="03E78041" w14:textId="77777777" w:rsidR="00271919" w:rsidRPr="00DF779F" w:rsidRDefault="00271919" w:rsidP="00B628F4">
      <w:pPr>
        <w:widowControl w:val="0"/>
        <w:numPr>
          <w:ilvl w:val="0"/>
          <w:numId w:val="56"/>
        </w:numPr>
        <w:spacing w:before="0" w:after="0"/>
        <w:outlineLvl w:val="3"/>
        <w:rPr>
          <w:rFonts w:asciiTheme="minorHAnsi" w:hAnsiTheme="minorHAnsi" w:cstheme="minorHAnsi"/>
          <w:sz w:val="22"/>
          <w:szCs w:val="22"/>
          <w:u w:val="single"/>
        </w:rPr>
      </w:pPr>
      <w:r w:rsidRPr="00DF779F">
        <w:rPr>
          <w:rFonts w:asciiTheme="minorHAnsi" w:hAnsiTheme="minorHAnsi" w:cstheme="minorHAnsi"/>
          <w:sz w:val="22"/>
          <w:szCs w:val="22"/>
        </w:rPr>
        <w:t>Wyposażenie rozdzielnic:</w:t>
      </w:r>
    </w:p>
    <w:p w14:paraId="632FE1A7"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lastRenderedPageBreak/>
        <w:t xml:space="preserve">układ kontroli </w:t>
      </w:r>
      <w:proofErr w:type="spellStart"/>
      <w:r w:rsidRPr="00DF779F">
        <w:rPr>
          <w:rFonts w:asciiTheme="minorHAnsi" w:hAnsiTheme="minorHAnsi" w:cstheme="minorHAnsi"/>
          <w:sz w:val="22"/>
          <w:szCs w:val="22"/>
        </w:rPr>
        <w:t>doziemienia</w:t>
      </w:r>
      <w:proofErr w:type="spellEnd"/>
      <w:r w:rsidRPr="00DF779F">
        <w:rPr>
          <w:rFonts w:asciiTheme="minorHAnsi" w:hAnsiTheme="minorHAnsi" w:cstheme="minorHAnsi"/>
          <w:sz w:val="22"/>
          <w:szCs w:val="22"/>
        </w:rPr>
        <w:t xml:space="preserve"> baterii;</w:t>
      </w:r>
    </w:p>
    <w:p w14:paraId="3EF0ABAB"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rozdzielnica wyposażona w zabezpieczenia obwodów zasilających i odpływowych;</w:t>
      </w:r>
    </w:p>
    <w:p w14:paraId="31F69D75"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układ pozwalający na bezprzerwowe przyłączenie zewnętrznej, rezerwowej baterii akumulatorów i wydzielenie baterii stacjonarnej wraz z zasilaczem z układu zasilania odbiorów stacji;</w:t>
      </w:r>
    </w:p>
    <w:p w14:paraId="5D035F47"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układ kontroli stanu izolacji sieci DC z automatyczną lokalizacją </w:t>
      </w:r>
      <w:proofErr w:type="spellStart"/>
      <w:r w:rsidRPr="00DF779F">
        <w:rPr>
          <w:rFonts w:asciiTheme="minorHAnsi" w:hAnsiTheme="minorHAnsi" w:cstheme="minorHAnsi"/>
          <w:sz w:val="22"/>
          <w:szCs w:val="22"/>
        </w:rPr>
        <w:t>doziemionego</w:t>
      </w:r>
      <w:proofErr w:type="spellEnd"/>
      <w:r w:rsidRPr="00DF779F">
        <w:rPr>
          <w:rFonts w:asciiTheme="minorHAnsi" w:hAnsiTheme="minorHAnsi" w:cstheme="minorHAnsi"/>
          <w:sz w:val="22"/>
          <w:szCs w:val="22"/>
        </w:rPr>
        <w:t xml:space="preserve"> obwodu;</w:t>
      </w:r>
    </w:p>
    <w:p w14:paraId="656B1576"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dwukierunkowy pomiar prądu na zasilaniu z baterii (miernik analogowy);</w:t>
      </w:r>
    </w:p>
    <w:p w14:paraId="58233492"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pomiar napięcia na szynach (miernik analogowy);</w:t>
      </w:r>
    </w:p>
    <w:p w14:paraId="59A4A3AC"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układ rejestracji pracy baterii;</w:t>
      </w:r>
    </w:p>
    <w:p w14:paraId="1C27E723" w14:textId="77777777" w:rsidR="00271919" w:rsidRPr="00DF779F" w:rsidRDefault="00271919" w:rsidP="00B628F4">
      <w:pPr>
        <w:numPr>
          <w:ilvl w:val="1"/>
          <w:numId w:val="59"/>
        </w:numPr>
        <w:spacing w:before="0" w:after="0"/>
        <w:jc w:val="left"/>
        <w:rPr>
          <w:rFonts w:asciiTheme="minorHAnsi" w:hAnsiTheme="minorHAnsi" w:cstheme="minorHAnsi"/>
          <w:sz w:val="22"/>
          <w:szCs w:val="22"/>
        </w:rPr>
      </w:pPr>
      <w:r w:rsidRPr="00DF779F">
        <w:rPr>
          <w:rFonts w:asciiTheme="minorHAnsi" w:hAnsiTheme="minorHAnsi" w:cstheme="minorHAnsi"/>
          <w:sz w:val="22"/>
          <w:szCs w:val="22"/>
        </w:rPr>
        <w:t>układ sygnalizacji o obniżce i zwyżce napięcia na szynach (parametry regulowane);</w:t>
      </w:r>
    </w:p>
    <w:p w14:paraId="41DAE189"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automatykę załączania oświetlenia ewakuacyjnego;</w:t>
      </w:r>
    </w:p>
    <w:p w14:paraId="050B2AFA"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minimum 24 odpływów dwubiegunowych o prądach znamionowych 2 – 35 A;</w:t>
      </w:r>
    </w:p>
    <w:p w14:paraId="187C6302"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przewidzieć min 30 % rezerwowych obwodów;</w:t>
      </w:r>
    </w:p>
    <w:p w14:paraId="76EF0151"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typy i wartości zabezpieczeń dostosowane do zainstalowanych odbiorników i uzgodnione z Zamawiającym;</w:t>
      </w:r>
    </w:p>
    <w:p w14:paraId="4A12661A"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ochrona przepięciowa;</w:t>
      </w:r>
    </w:p>
    <w:p w14:paraId="3EE3E004"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sygnalizacja centralna i telesygnalizacja musi współpracować z zainstalowanym systemem;</w:t>
      </w:r>
    </w:p>
    <w:p w14:paraId="4715DADC"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telesygnalizacja (uzgodniona z zamawiającym);</w:t>
      </w:r>
    </w:p>
    <w:p w14:paraId="2C7A08DC"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synoptyka układu połączeń torów głównych bateria-szyny-prostownik edytowana w </w:t>
      </w:r>
      <w:proofErr w:type="spellStart"/>
      <w:r w:rsidRPr="00DF779F">
        <w:rPr>
          <w:rFonts w:asciiTheme="minorHAnsi" w:hAnsiTheme="minorHAnsi" w:cstheme="minorHAnsi"/>
          <w:sz w:val="22"/>
          <w:szCs w:val="22"/>
        </w:rPr>
        <w:t>WindEx</w:t>
      </w:r>
      <w:proofErr w:type="spellEnd"/>
      <w:r w:rsidRPr="00DF779F">
        <w:rPr>
          <w:rFonts w:asciiTheme="minorHAnsi" w:hAnsiTheme="minorHAnsi" w:cstheme="minorHAnsi"/>
          <w:sz w:val="22"/>
          <w:szCs w:val="22"/>
        </w:rPr>
        <w:t>;</w:t>
      </w:r>
    </w:p>
    <w:p w14:paraId="60B298B7"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telesygnalizacja ostrzegawcza ( wymagana ) o:</w:t>
      </w:r>
    </w:p>
    <w:p w14:paraId="3E99988B"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braku ciągłości obwodów baterii,</w:t>
      </w:r>
    </w:p>
    <w:p w14:paraId="257DF433"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obniżce i zwyżce napięcia na szynach (parametry regulowane),</w:t>
      </w:r>
    </w:p>
    <w:p w14:paraId="6C0E0AFD"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awarii zasilaczy (prostowników),</w:t>
      </w:r>
    </w:p>
    <w:p w14:paraId="71C86A2B"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proofErr w:type="spellStart"/>
      <w:r w:rsidRPr="00DF779F">
        <w:rPr>
          <w:rFonts w:asciiTheme="minorHAnsi" w:hAnsiTheme="minorHAnsi" w:cstheme="minorHAnsi"/>
          <w:sz w:val="22"/>
          <w:szCs w:val="22"/>
        </w:rPr>
        <w:t>doziemieniu</w:t>
      </w:r>
      <w:proofErr w:type="spellEnd"/>
      <w:r w:rsidRPr="00DF779F">
        <w:rPr>
          <w:rFonts w:asciiTheme="minorHAnsi" w:hAnsiTheme="minorHAnsi" w:cstheme="minorHAnsi"/>
          <w:sz w:val="22"/>
          <w:szCs w:val="22"/>
        </w:rPr>
        <w:t xml:space="preserve"> bieguna baterii,</w:t>
      </w:r>
    </w:p>
    <w:p w14:paraId="309DE0F1"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u w:val="single"/>
        </w:rPr>
      </w:pPr>
      <w:r w:rsidRPr="00DF779F">
        <w:rPr>
          <w:rFonts w:asciiTheme="minorHAnsi" w:hAnsiTheme="minorHAnsi" w:cstheme="minorHAnsi"/>
          <w:sz w:val="22"/>
          <w:szCs w:val="22"/>
        </w:rPr>
        <w:t xml:space="preserve">komunikacja i sterowanie układu kontroli </w:t>
      </w:r>
      <w:proofErr w:type="spellStart"/>
      <w:r w:rsidRPr="00DF779F">
        <w:rPr>
          <w:rFonts w:asciiTheme="minorHAnsi" w:hAnsiTheme="minorHAnsi" w:cstheme="minorHAnsi"/>
          <w:sz w:val="22"/>
          <w:szCs w:val="22"/>
        </w:rPr>
        <w:t>doziemienia</w:t>
      </w:r>
      <w:proofErr w:type="spellEnd"/>
      <w:r w:rsidRPr="00DF779F">
        <w:rPr>
          <w:rFonts w:asciiTheme="minorHAnsi" w:hAnsiTheme="minorHAnsi" w:cstheme="minorHAnsi"/>
          <w:sz w:val="22"/>
          <w:szCs w:val="22"/>
        </w:rPr>
        <w:t xml:space="preserve"> poprzez sieć Ethernet TCP/IP 100Mbit/s;</w:t>
      </w:r>
    </w:p>
    <w:p w14:paraId="33CB57FE" w14:textId="77777777" w:rsidR="00271919" w:rsidRPr="00DF779F" w:rsidRDefault="00271919" w:rsidP="00B628F4">
      <w:pPr>
        <w:widowControl w:val="0"/>
        <w:numPr>
          <w:ilvl w:val="1"/>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zasilacz buforowy – 2 sztuki</w:t>
      </w:r>
    </w:p>
    <w:p w14:paraId="1AFB67F8"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Napięcie znamionowe </w:t>
      </w:r>
      <w:proofErr w:type="spellStart"/>
      <w:r w:rsidRPr="00DF779F">
        <w:rPr>
          <w:rFonts w:asciiTheme="minorHAnsi" w:hAnsiTheme="minorHAnsi" w:cstheme="minorHAnsi"/>
          <w:sz w:val="22"/>
          <w:szCs w:val="22"/>
        </w:rPr>
        <w:t>Un</w:t>
      </w:r>
      <w:proofErr w:type="spellEnd"/>
      <w:r w:rsidRPr="00DF779F">
        <w:rPr>
          <w:rFonts w:asciiTheme="minorHAnsi" w:hAnsiTheme="minorHAnsi" w:cstheme="minorHAnsi"/>
          <w:sz w:val="22"/>
          <w:szCs w:val="22"/>
        </w:rPr>
        <w:tab/>
        <w:t>220 V;</w:t>
      </w:r>
    </w:p>
    <w:p w14:paraId="39D04D84"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Prąd znamionowy  I n</w:t>
      </w:r>
      <w:r w:rsidRPr="00DF779F">
        <w:rPr>
          <w:rFonts w:asciiTheme="minorHAnsi" w:hAnsiTheme="minorHAnsi" w:cstheme="minorHAnsi"/>
          <w:sz w:val="22"/>
          <w:szCs w:val="22"/>
        </w:rPr>
        <w:tab/>
        <w:t>50A;</w:t>
      </w:r>
    </w:p>
    <w:p w14:paraId="073A922E"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Stabilność napięcia znamionowego </w:t>
      </w:r>
      <w:proofErr w:type="spellStart"/>
      <w:r w:rsidRPr="00DF779F">
        <w:rPr>
          <w:rFonts w:asciiTheme="minorHAnsi" w:hAnsiTheme="minorHAnsi" w:cstheme="minorHAnsi"/>
          <w:sz w:val="22"/>
          <w:szCs w:val="22"/>
        </w:rPr>
        <w:t>Un</w:t>
      </w:r>
      <w:proofErr w:type="spellEnd"/>
      <w:r w:rsidRPr="00DF779F">
        <w:rPr>
          <w:rFonts w:asciiTheme="minorHAnsi" w:hAnsiTheme="minorHAnsi" w:cstheme="minorHAnsi"/>
          <w:sz w:val="22"/>
          <w:szCs w:val="22"/>
        </w:rPr>
        <w:t xml:space="preserve"> </w:t>
      </w:r>
      <w:r w:rsidRPr="00DF779F">
        <w:rPr>
          <w:rFonts w:asciiTheme="minorHAnsi" w:hAnsiTheme="minorHAnsi" w:cstheme="minorHAnsi"/>
          <w:sz w:val="22"/>
          <w:szCs w:val="22"/>
        </w:rPr>
        <w:tab/>
        <w:t>≤ 1%;</w:t>
      </w:r>
    </w:p>
    <w:p w14:paraId="6D069E4A"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Tętnienie napięcia znamionowego („</w:t>
      </w:r>
      <w:proofErr w:type="spellStart"/>
      <w:r w:rsidRPr="00DF779F">
        <w:rPr>
          <w:rFonts w:asciiTheme="minorHAnsi" w:hAnsiTheme="minorHAnsi" w:cstheme="minorHAnsi"/>
          <w:sz w:val="22"/>
          <w:szCs w:val="22"/>
        </w:rPr>
        <w:t>peak</w:t>
      </w:r>
      <w:proofErr w:type="spellEnd"/>
      <w:r w:rsidRPr="00DF779F">
        <w:rPr>
          <w:rFonts w:asciiTheme="minorHAnsi" w:hAnsiTheme="minorHAnsi" w:cstheme="minorHAnsi"/>
          <w:sz w:val="22"/>
          <w:szCs w:val="22"/>
        </w:rPr>
        <w:t xml:space="preserve"> to </w:t>
      </w:r>
      <w:proofErr w:type="spellStart"/>
      <w:r w:rsidRPr="00DF779F">
        <w:rPr>
          <w:rFonts w:asciiTheme="minorHAnsi" w:hAnsiTheme="minorHAnsi" w:cstheme="minorHAnsi"/>
          <w:sz w:val="22"/>
          <w:szCs w:val="22"/>
        </w:rPr>
        <w:t>peak</w:t>
      </w:r>
      <w:proofErr w:type="spellEnd"/>
      <w:r w:rsidRPr="00DF779F">
        <w:rPr>
          <w:rFonts w:asciiTheme="minorHAnsi" w:hAnsiTheme="minorHAnsi" w:cstheme="minorHAnsi"/>
          <w:sz w:val="22"/>
          <w:szCs w:val="22"/>
        </w:rPr>
        <w:t>”)</w:t>
      </w:r>
      <w:r w:rsidRPr="00DF779F">
        <w:rPr>
          <w:rFonts w:asciiTheme="minorHAnsi" w:hAnsiTheme="minorHAnsi" w:cstheme="minorHAnsi"/>
          <w:sz w:val="22"/>
          <w:szCs w:val="22"/>
        </w:rPr>
        <w:tab/>
        <w:t>≤ 0,5%;</w:t>
      </w:r>
    </w:p>
    <w:p w14:paraId="31F363D6"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Regulacja prądu wyjściowego J wyjść </w:t>
      </w:r>
      <w:r w:rsidRPr="00DF779F">
        <w:rPr>
          <w:rFonts w:asciiTheme="minorHAnsi" w:hAnsiTheme="minorHAnsi" w:cstheme="minorHAnsi"/>
          <w:sz w:val="22"/>
          <w:szCs w:val="22"/>
        </w:rPr>
        <w:tab/>
        <w:t>0,1 ÷ 1,0 In ;</w:t>
      </w:r>
    </w:p>
    <w:p w14:paraId="6149D265"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Regulacja max napięcia buforowego </w:t>
      </w:r>
      <w:proofErr w:type="spellStart"/>
      <w:r w:rsidRPr="00DF779F">
        <w:rPr>
          <w:rFonts w:asciiTheme="minorHAnsi" w:hAnsiTheme="minorHAnsi" w:cstheme="minorHAnsi"/>
          <w:sz w:val="22"/>
          <w:szCs w:val="22"/>
        </w:rPr>
        <w:t>Ubuf</w:t>
      </w:r>
      <w:proofErr w:type="spellEnd"/>
      <w:r w:rsidRPr="00DF779F">
        <w:rPr>
          <w:rFonts w:asciiTheme="minorHAnsi" w:hAnsiTheme="minorHAnsi" w:cstheme="minorHAnsi"/>
          <w:sz w:val="22"/>
          <w:szCs w:val="22"/>
        </w:rPr>
        <w:t xml:space="preserve"> </w:t>
      </w:r>
      <w:r w:rsidRPr="00DF779F">
        <w:rPr>
          <w:rFonts w:asciiTheme="minorHAnsi" w:hAnsiTheme="minorHAnsi" w:cstheme="minorHAnsi"/>
          <w:sz w:val="22"/>
          <w:szCs w:val="22"/>
        </w:rPr>
        <w:tab/>
        <w:t>230 ÷ 242 V</w:t>
      </w:r>
    </w:p>
    <w:p w14:paraId="68195BBC"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Temperatura otoczenia pracy</w:t>
      </w:r>
      <w:r w:rsidRPr="00DF779F">
        <w:rPr>
          <w:rFonts w:asciiTheme="minorHAnsi" w:hAnsiTheme="minorHAnsi" w:cstheme="minorHAnsi"/>
          <w:sz w:val="22"/>
          <w:szCs w:val="22"/>
        </w:rPr>
        <w:tab/>
        <w:t>+5 ÷ +30°C;</w:t>
      </w:r>
    </w:p>
    <w:p w14:paraId="2FE11C7B"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Izolacja galwaniczna obwodu AC i DC;</w:t>
      </w:r>
    </w:p>
    <w:p w14:paraId="6A0E64B6"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Kompensacja temperaturowa baterii (z możliwością blokowania);</w:t>
      </w:r>
    </w:p>
    <w:p w14:paraId="453A85A4" w14:textId="77777777" w:rsidR="00271919" w:rsidRPr="00DF779F" w:rsidRDefault="00271919" w:rsidP="00B628F4">
      <w:pPr>
        <w:widowControl w:val="0"/>
        <w:numPr>
          <w:ilvl w:val="2"/>
          <w:numId w:val="59"/>
        </w:numPr>
        <w:tabs>
          <w:tab w:val="left" w:pos="6946"/>
        </w:tabs>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Kontrola i sygnalizacja stanów alarmów:</w:t>
      </w:r>
    </w:p>
    <w:p w14:paraId="7125B127" w14:textId="77777777" w:rsidR="00271919" w:rsidRPr="00DF779F" w:rsidRDefault="00271919" w:rsidP="00B628F4">
      <w:pPr>
        <w:widowControl w:val="0"/>
        <w:numPr>
          <w:ilvl w:val="3"/>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brak ładowania baterii,</w:t>
      </w:r>
    </w:p>
    <w:p w14:paraId="4E0A176F" w14:textId="77777777" w:rsidR="00271919" w:rsidRPr="00DF779F" w:rsidRDefault="00271919" w:rsidP="00B628F4">
      <w:pPr>
        <w:widowControl w:val="0"/>
        <w:numPr>
          <w:ilvl w:val="3"/>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napięcia progowe </w:t>
      </w:r>
      <w:proofErr w:type="spellStart"/>
      <w:r w:rsidRPr="00DF779F">
        <w:rPr>
          <w:rFonts w:asciiTheme="minorHAnsi" w:hAnsiTheme="minorHAnsi" w:cstheme="minorHAnsi"/>
          <w:sz w:val="22"/>
          <w:szCs w:val="22"/>
        </w:rPr>
        <w:t>Umin</w:t>
      </w:r>
      <w:proofErr w:type="spellEnd"/>
      <w:r w:rsidRPr="00DF779F">
        <w:rPr>
          <w:rFonts w:asciiTheme="minorHAnsi" w:hAnsiTheme="minorHAnsi" w:cstheme="minorHAnsi"/>
          <w:sz w:val="22"/>
          <w:szCs w:val="22"/>
        </w:rPr>
        <w:t xml:space="preserve"> i </w:t>
      </w:r>
      <w:proofErr w:type="spellStart"/>
      <w:r w:rsidRPr="00DF779F">
        <w:rPr>
          <w:rFonts w:asciiTheme="minorHAnsi" w:hAnsiTheme="minorHAnsi" w:cstheme="minorHAnsi"/>
          <w:sz w:val="22"/>
          <w:szCs w:val="22"/>
        </w:rPr>
        <w:t>Umax</w:t>
      </w:r>
      <w:proofErr w:type="spellEnd"/>
      <w:r w:rsidRPr="00DF779F">
        <w:rPr>
          <w:rFonts w:asciiTheme="minorHAnsi" w:hAnsiTheme="minorHAnsi" w:cstheme="minorHAnsi"/>
          <w:sz w:val="22"/>
          <w:szCs w:val="22"/>
        </w:rPr>
        <w:t>,</w:t>
      </w:r>
    </w:p>
    <w:p w14:paraId="7431D74F" w14:textId="77777777" w:rsidR="00271919" w:rsidRPr="00DF779F" w:rsidRDefault="00271919" w:rsidP="00B628F4">
      <w:pPr>
        <w:widowControl w:val="0"/>
        <w:numPr>
          <w:ilvl w:val="3"/>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zewnętrzny pomiar ciągłości obwodu baterii;</w:t>
      </w:r>
    </w:p>
    <w:p w14:paraId="371DF7AC"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Możliwość programowego ustawiania przez użytkownika progów alarmów </w:t>
      </w:r>
      <w:proofErr w:type="spellStart"/>
      <w:r w:rsidRPr="00DF779F">
        <w:rPr>
          <w:rFonts w:asciiTheme="minorHAnsi" w:hAnsiTheme="minorHAnsi" w:cstheme="minorHAnsi"/>
          <w:sz w:val="22"/>
          <w:szCs w:val="22"/>
        </w:rPr>
        <w:t>Umin</w:t>
      </w:r>
      <w:proofErr w:type="spellEnd"/>
      <w:r w:rsidRPr="00DF779F">
        <w:rPr>
          <w:rFonts w:asciiTheme="minorHAnsi" w:hAnsiTheme="minorHAnsi" w:cstheme="minorHAnsi"/>
          <w:sz w:val="22"/>
          <w:szCs w:val="22"/>
        </w:rPr>
        <w:t xml:space="preserve"> 187÷ 212; </w:t>
      </w:r>
      <w:proofErr w:type="spellStart"/>
      <w:r w:rsidRPr="00DF779F">
        <w:rPr>
          <w:rFonts w:asciiTheme="minorHAnsi" w:hAnsiTheme="minorHAnsi" w:cstheme="minorHAnsi"/>
          <w:sz w:val="22"/>
          <w:szCs w:val="22"/>
        </w:rPr>
        <w:t>Umax</w:t>
      </w:r>
      <w:proofErr w:type="spellEnd"/>
      <w:r w:rsidRPr="00DF779F">
        <w:rPr>
          <w:rFonts w:asciiTheme="minorHAnsi" w:hAnsiTheme="minorHAnsi" w:cstheme="minorHAnsi"/>
          <w:sz w:val="22"/>
          <w:szCs w:val="22"/>
        </w:rPr>
        <w:t xml:space="preserve"> 240÷250V;</w:t>
      </w:r>
    </w:p>
    <w:p w14:paraId="13B352A2"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Wszystkie parametry regulowane muszą być zapewnione z poziomu użytkownika;</w:t>
      </w:r>
    </w:p>
    <w:p w14:paraId="6175DFD3"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 xml:space="preserve">Obudowa w wersji </w:t>
      </w:r>
      <w:proofErr w:type="spellStart"/>
      <w:r w:rsidRPr="00DF779F">
        <w:rPr>
          <w:rFonts w:asciiTheme="minorHAnsi" w:hAnsiTheme="minorHAnsi" w:cstheme="minorHAnsi"/>
          <w:sz w:val="22"/>
          <w:szCs w:val="22"/>
        </w:rPr>
        <w:t>Rack</w:t>
      </w:r>
      <w:proofErr w:type="spellEnd"/>
      <w:r w:rsidRPr="00DF779F">
        <w:rPr>
          <w:rFonts w:asciiTheme="minorHAnsi" w:hAnsiTheme="minorHAnsi" w:cstheme="minorHAnsi"/>
          <w:sz w:val="22"/>
          <w:szCs w:val="22"/>
        </w:rPr>
        <w:t xml:space="preserve"> do zabudowy w szafie PWDC;</w:t>
      </w:r>
    </w:p>
    <w:p w14:paraId="02188CBB"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moduł komunikacyjny z koncentratorem telemechaniki na stacji,</w:t>
      </w:r>
    </w:p>
    <w:p w14:paraId="02DB84B4" w14:textId="77777777" w:rsidR="00271919" w:rsidRPr="00DF779F" w:rsidRDefault="00271919" w:rsidP="00B628F4">
      <w:pPr>
        <w:widowControl w:val="0"/>
        <w:numPr>
          <w:ilvl w:val="2"/>
          <w:numId w:val="59"/>
        </w:numPr>
        <w:spacing w:before="0" w:after="0"/>
        <w:outlineLvl w:val="3"/>
        <w:rPr>
          <w:rFonts w:asciiTheme="minorHAnsi" w:hAnsiTheme="minorHAnsi" w:cstheme="minorHAnsi"/>
          <w:sz w:val="22"/>
          <w:szCs w:val="22"/>
        </w:rPr>
      </w:pPr>
      <w:r w:rsidRPr="00DF779F">
        <w:rPr>
          <w:rFonts w:asciiTheme="minorHAnsi" w:hAnsiTheme="minorHAnsi" w:cstheme="minorHAnsi"/>
          <w:sz w:val="22"/>
          <w:szCs w:val="22"/>
        </w:rPr>
        <w:t>Przystąpienie do usuwania awarii do 48 godz. od zgłoszenia (e-mail, fax);</w:t>
      </w:r>
    </w:p>
    <w:p w14:paraId="3A7EABA9" w14:textId="77777777" w:rsidR="00271919" w:rsidRPr="00DF779F" w:rsidRDefault="00271919" w:rsidP="00271919">
      <w:pPr>
        <w:widowControl w:val="0"/>
        <w:spacing w:before="0" w:after="0"/>
        <w:ind w:left="1440" w:firstLine="0"/>
        <w:outlineLvl w:val="3"/>
        <w:rPr>
          <w:rFonts w:asciiTheme="minorHAnsi" w:hAnsiTheme="minorHAnsi" w:cstheme="minorHAnsi"/>
          <w:sz w:val="22"/>
          <w:szCs w:val="22"/>
          <w:u w:val="single"/>
        </w:rPr>
      </w:pPr>
    </w:p>
    <w:p w14:paraId="288C3AB3" w14:textId="77777777" w:rsidR="00271919" w:rsidRPr="004E3302"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sidRPr="004E3302">
        <w:rPr>
          <w:rFonts w:asciiTheme="minorHAnsi" w:hAnsiTheme="minorHAnsi" w:cstheme="minorHAnsi"/>
          <w:b/>
          <w:bCs/>
          <w:i/>
          <w:iCs/>
          <w:snapToGrid w:val="0"/>
          <w:sz w:val="22"/>
          <w:szCs w:val="22"/>
          <w:u w:val="single"/>
        </w:rPr>
        <w:t>BATERIE AKUMULATORÓW 220V DC</w:t>
      </w:r>
    </w:p>
    <w:p w14:paraId="26B49BBA" w14:textId="77777777" w:rsidR="00271919" w:rsidRPr="00DF779F" w:rsidRDefault="00271919" w:rsidP="00271919">
      <w:pPr>
        <w:widowControl w:val="0"/>
        <w:autoSpaceDE w:val="0"/>
        <w:autoSpaceDN w:val="0"/>
        <w:adjustRightInd w:val="0"/>
        <w:spacing w:before="0" w:after="0"/>
        <w:ind w:left="2977" w:hanging="2410"/>
        <w:jc w:val="left"/>
        <w:rPr>
          <w:rFonts w:asciiTheme="minorHAnsi" w:hAnsiTheme="minorHAnsi" w:cstheme="minorHAnsi"/>
          <w:sz w:val="22"/>
          <w:szCs w:val="22"/>
        </w:rPr>
      </w:pPr>
      <w:r w:rsidRPr="00DF779F">
        <w:rPr>
          <w:rFonts w:asciiTheme="minorHAnsi" w:hAnsiTheme="minorHAnsi" w:cstheme="minorHAnsi"/>
          <w:sz w:val="22"/>
          <w:szCs w:val="22"/>
        </w:rPr>
        <w:lastRenderedPageBreak/>
        <w:t>Dwie baterie akumulatorów o poniższych parametrach:</w:t>
      </w:r>
    </w:p>
    <w:p w14:paraId="79C6F8F9" w14:textId="77777777" w:rsidR="00271919" w:rsidRPr="00DF779F" w:rsidRDefault="00271919" w:rsidP="00271919">
      <w:pPr>
        <w:widowControl w:val="0"/>
        <w:autoSpaceDE w:val="0"/>
        <w:autoSpaceDN w:val="0"/>
        <w:adjustRightInd w:val="0"/>
        <w:spacing w:before="0" w:after="0"/>
        <w:ind w:left="2977" w:hanging="2410"/>
        <w:jc w:val="left"/>
        <w:rPr>
          <w:rFonts w:asciiTheme="minorHAnsi" w:hAnsiTheme="minorHAnsi" w:cstheme="minorHAnsi"/>
          <w:b/>
          <w:bCs/>
        </w:rPr>
      </w:pPr>
    </w:p>
    <w:p w14:paraId="614A5075" w14:textId="77777777" w:rsidR="00271919" w:rsidRPr="00DF779F" w:rsidRDefault="00271919" w:rsidP="00271919">
      <w:pPr>
        <w:widowControl w:val="0"/>
        <w:autoSpaceDE w:val="0"/>
        <w:autoSpaceDN w:val="0"/>
        <w:adjustRightInd w:val="0"/>
        <w:spacing w:before="0" w:after="0"/>
        <w:ind w:left="2977" w:hanging="2410"/>
        <w:jc w:val="left"/>
        <w:rPr>
          <w:rFonts w:asciiTheme="minorHAnsi" w:hAnsiTheme="minorHAnsi" w:cstheme="minorHAnsi"/>
          <w:sz w:val="22"/>
          <w:szCs w:val="22"/>
          <w:highlight w:val="yellow"/>
        </w:rPr>
      </w:pPr>
      <w:r w:rsidRPr="00DF779F">
        <w:rPr>
          <w:rFonts w:asciiTheme="minorHAnsi" w:hAnsiTheme="minorHAnsi" w:cstheme="minorHAnsi"/>
          <w:b/>
          <w:bCs/>
          <w:sz w:val="22"/>
          <w:szCs w:val="22"/>
        </w:rPr>
        <w:t xml:space="preserve">Bateria akumulatorów stacyjnych 220V DC </w:t>
      </w:r>
    </w:p>
    <w:p w14:paraId="7AFD76D6"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klasyczne otwarte baterie ołowiowo-kwasowe złożone z pojedynczych ogniw 2V, napełnione elektrolitem i uformowane,</w:t>
      </w:r>
    </w:p>
    <w:p w14:paraId="68C4E3E1"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pojemność znamionowa baterii C10 (h=12 godzin, temp. 20⁰C, napięcie końcowe 1,8V/ogniwo): pojemności do określenia na etapie projektu,</w:t>
      </w:r>
    </w:p>
    <w:p w14:paraId="64671D8E"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napięcie znamionowe: 220V DC,</w:t>
      </w:r>
    </w:p>
    <w:p w14:paraId="62E5C339"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ilość ogniw 2V=: 106,</w:t>
      </w:r>
    </w:p>
    <w:p w14:paraId="237F5E77"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 xml:space="preserve">konstrukcja płyty dodatniej: wielkopowierzchniowa, </w:t>
      </w:r>
    </w:p>
    <w:p w14:paraId="6857BF43"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układ pracy - praca buforowa,</w:t>
      </w:r>
    </w:p>
    <w:p w14:paraId="09516AD9"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napięcie buforowe w temp. 20⁰C: 2,23 ÷ 2,25V / ogniwo,</w:t>
      </w:r>
    </w:p>
    <w:p w14:paraId="137CC3D4"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temperatura pracy baterii: + 5 ÷ 30⁰C,</w:t>
      </w:r>
    </w:p>
    <w:p w14:paraId="347149F3"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dolne napięcie rozładowania: 1,8 V / ogniwo,</w:t>
      </w:r>
    </w:p>
    <w:p w14:paraId="792EB003"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kompensacja temperaturowa - czujnik temperatury dla układu kompensacji temperaturowej zamontowany pomiędzy ogniwami w środku baterii (w połowie długości rzędu baterii),</w:t>
      </w:r>
    </w:p>
    <w:p w14:paraId="0F2360E6"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bieguny baterii muszą posiadać gwint zewnętrzny lub wewnętrzny, a miejsce przejścia przez wieczko ogniwa odpowiednio uszczelnione (uszczelnienie neoprenowe lub szlifowane z potrójnym uszczelnieniem pierścieniowym),</w:t>
      </w:r>
    </w:p>
    <w:p w14:paraId="5B490A21"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obudowa – SAN (</w:t>
      </w:r>
      <w:proofErr w:type="spellStart"/>
      <w:r w:rsidRPr="00DF779F">
        <w:rPr>
          <w:rFonts w:asciiTheme="minorHAnsi" w:hAnsiTheme="minorHAnsi" w:cstheme="minorHAnsi"/>
          <w:sz w:val="22"/>
          <w:szCs w:val="22"/>
        </w:rPr>
        <w:t>styrenoakrylonityl</w:t>
      </w:r>
      <w:proofErr w:type="spellEnd"/>
      <w:r w:rsidRPr="00DF779F">
        <w:rPr>
          <w:rFonts w:asciiTheme="minorHAnsi" w:hAnsiTheme="minorHAnsi" w:cstheme="minorHAnsi"/>
          <w:sz w:val="22"/>
          <w:szCs w:val="22"/>
        </w:rPr>
        <w:t>),</w:t>
      </w:r>
    </w:p>
    <w:p w14:paraId="1C168522"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 xml:space="preserve">bezobsługowe korki rekombinacyjne o trwałości równej co najmniej trwałości baterii, </w:t>
      </w:r>
    </w:p>
    <w:p w14:paraId="26FE2778"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 xml:space="preserve">łączniki </w:t>
      </w:r>
      <w:proofErr w:type="spellStart"/>
      <w:r w:rsidRPr="00DF779F">
        <w:rPr>
          <w:rFonts w:asciiTheme="minorHAnsi" w:hAnsiTheme="minorHAnsi" w:cstheme="minorHAnsi"/>
          <w:sz w:val="22"/>
          <w:szCs w:val="22"/>
        </w:rPr>
        <w:t>międzyogniwowe</w:t>
      </w:r>
      <w:proofErr w:type="spellEnd"/>
      <w:r w:rsidRPr="00DF779F">
        <w:rPr>
          <w:rFonts w:asciiTheme="minorHAnsi" w:hAnsiTheme="minorHAnsi" w:cstheme="minorHAnsi"/>
          <w:sz w:val="22"/>
          <w:szCs w:val="22"/>
        </w:rPr>
        <w:t xml:space="preserve"> i komplety złącz oraz wszelkich niezbędnych akcesoriów umożliwiających wykonanie połączeń między rzędami w pełni izolowane lub osłonięte, (rozstaw ogniw nie mniej niż 10 mm), z punktem pomiarowym; komplety śrub, nakrętek i innych elementów niezbędnych do wykonania montażu baterii w tym wyizolowanie,</w:t>
      </w:r>
    </w:p>
    <w:p w14:paraId="7F3CF052"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baterie wykonane zgodne z normą PN-EN IEC 62485-2:2018-09, PN-EN 60896-11:2007, PN-EN 60255-1:2010, DIN 40738,</w:t>
      </w:r>
    </w:p>
    <w:p w14:paraId="5FDC6FCD"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płyty i baterie muszą być wyprodukowane w bieżącym roku i z jednej partii (oświadczenie producenta o terminie produkcji dostarczonych płyt i baterii – na etapie dostawy),</w:t>
      </w:r>
    </w:p>
    <w:p w14:paraId="26B9E89C"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wszystkie ogniwa muszą posiadać widoczną numerację; komplet naklejek kolejno numerowanych na ogniwa wraz z tabliczkami znamionowymi dla baterii,</w:t>
      </w:r>
    </w:p>
    <w:p w14:paraId="451D7A0B"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komplet dokumentacji DTR w zakresie obsługi i konserwacji baterii,</w:t>
      </w:r>
    </w:p>
    <w:p w14:paraId="16DFDBE1"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żywotność baterii przy pracy w temperaturze 20⁰C: nie mniej niż 20 lat,</w:t>
      </w:r>
    </w:p>
    <w:p w14:paraId="2502FF16" w14:textId="77777777" w:rsidR="00271919" w:rsidRPr="00DF779F" w:rsidRDefault="00271919" w:rsidP="00B628F4">
      <w:pPr>
        <w:widowControl w:val="0"/>
        <w:numPr>
          <w:ilvl w:val="0"/>
          <w:numId w:val="60"/>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przystąpienie do usuwania awarii do 48 godz. od zgłoszenia (e-mail, fax).</w:t>
      </w:r>
    </w:p>
    <w:p w14:paraId="7F00B93E" w14:textId="77777777" w:rsidR="00271919" w:rsidRPr="00DF779F" w:rsidRDefault="00271919" w:rsidP="00271919">
      <w:pPr>
        <w:widowControl w:val="0"/>
        <w:spacing w:before="0" w:after="0"/>
        <w:ind w:left="993" w:firstLine="0"/>
        <w:outlineLvl w:val="3"/>
        <w:rPr>
          <w:rFonts w:asciiTheme="minorHAnsi" w:hAnsiTheme="minorHAnsi" w:cstheme="minorHAnsi"/>
          <w:sz w:val="22"/>
          <w:szCs w:val="22"/>
        </w:rPr>
      </w:pPr>
    </w:p>
    <w:p w14:paraId="59CF7FF3" w14:textId="77777777" w:rsidR="00271919" w:rsidRPr="00DF779F" w:rsidRDefault="00271919" w:rsidP="00271919">
      <w:pPr>
        <w:widowControl w:val="0"/>
        <w:spacing w:before="0" w:after="0"/>
        <w:ind w:left="633" w:firstLine="0"/>
        <w:outlineLvl w:val="3"/>
        <w:rPr>
          <w:rFonts w:asciiTheme="minorHAnsi" w:hAnsiTheme="minorHAnsi" w:cstheme="minorHAnsi"/>
          <w:b/>
          <w:bCs/>
          <w:sz w:val="22"/>
          <w:szCs w:val="22"/>
        </w:rPr>
      </w:pPr>
      <w:r w:rsidRPr="00DF779F">
        <w:rPr>
          <w:rFonts w:asciiTheme="minorHAnsi" w:hAnsiTheme="minorHAnsi" w:cstheme="minorHAnsi"/>
          <w:b/>
          <w:bCs/>
          <w:sz w:val="22"/>
          <w:szCs w:val="22"/>
        </w:rPr>
        <w:t xml:space="preserve">Stelaż do baterii akumulatorów wraz z izolatorami wsporczymi konstrukcji z kuwetami kwasoodpornymi </w:t>
      </w:r>
    </w:p>
    <w:p w14:paraId="086C7402"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stelaż musi być nowy,</w:t>
      </w:r>
    </w:p>
    <w:p w14:paraId="43AB2554"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rodzaj materiału: tworzywo sztuczne, metal,</w:t>
      </w:r>
    </w:p>
    <w:p w14:paraId="17C3CEA0"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zabezpieczenie antykorozyjne powłoką kwasoodporną,</w:t>
      </w:r>
    </w:p>
    <w:p w14:paraId="4DDA9210"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konstrukcja schodkowa (dwu lub czterorzędowa; baterie należy ustawić w sposób umożliwiający obserwację osadów na dnie każdego ogniwa),</w:t>
      </w:r>
    </w:p>
    <w:p w14:paraId="552243A8"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konstrukcja pozwalająca na swobodny dostęp do biegunów i złączek,</w:t>
      </w:r>
    </w:p>
    <w:p w14:paraId="1E8A67B0"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konstrukcja pozwalająca na swobodny dostęp do montażu i demontażu pojedynczych ogniw,</w:t>
      </w:r>
    </w:p>
    <w:p w14:paraId="3EB894BE"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żywotność stelażu równa co najmniej żywotności baterii,</w:t>
      </w:r>
    </w:p>
    <w:p w14:paraId="4A2F13A4"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usuwanie awarii do 48 godz. od zgłoszenia (e-mail, fax),</w:t>
      </w:r>
    </w:p>
    <w:p w14:paraId="0B115386" w14:textId="77777777" w:rsidR="00271919" w:rsidRPr="00DF779F" w:rsidRDefault="00271919" w:rsidP="00B628F4">
      <w:pPr>
        <w:widowControl w:val="0"/>
        <w:numPr>
          <w:ilvl w:val="0"/>
          <w:numId w:val="62"/>
        </w:numPr>
        <w:spacing w:before="0" w:after="0"/>
        <w:ind w:left="993"/>
        <w:outlineLvl w:val="3"/>
        <w:rPr>
          <w:rFonts w:asciiTheme="minorHAnsi" w:hAnsiTheme="minorHAnsi" w:cstheme="minorHAnsi"/>
          <w:sz w:val="22"/>
          <w:szCs w:val="22"/>
        </w:rPr>
      </w:pPr>
      <w:r w:rsidRPr="00DF779F">
        <w:rPr>
          <w:rFonts w:asciiTheme="minorHAnsi" w:hAnsiTheme="minorHAnsi" w:cstheme="minorHAnsi"/>
          <w:sz w:val="22"/>
          <w:szCs w:val="22"/>
        </w:rPr>
        <w:t>kuwety kwasoodporne dostosowane do konstrukcji</w:t>
      </w:r>
    </w:p>
    <w:p w14:paraId="32BDE019" w14:textId="77777777" w:rsidR="00271919" w:rsidRPr="00DF779F" w:rsidRDefault="00271919" w:rsidP="00271919">
      <w:pPr>
        <w:widowControl w:val="0"/>
        <w:spacing w:before="0" w:after="0"/>
        <w:ind w:left="633" w:firstLine="0"/>
        <w:outlineLvl w:val="3"/>
        <w:rPr>
          <w:rFonts w:asciiTheme="minorHAnsi" w:hAnsiTheme="minorHAnsi" w:cstheme="minorHAnsi"/>
          <w:b/>
          <w:bCs/>
          <w:sz w:val="22"/>
          <w:szCs w:val="22"/>
        </w:rPr>
      </w:pPr>
    </w:p>
    <w:p w14:paraId="394ADD33" w14:textId="77777777" w:rsidR="00271919" w:rsidRPr="00DF779F" w:rsidRDefault="00271919" w:rsidP="00271919">
      <w:pPr>
        <w:widowControl w:val="0"/>
        <w:spacing w:before="0" w:after="0"/>
        <w:ind w:left="633" w:firstLine="0"/>
        <w:outlineLvl w:val="3"/>
        <w:rPr>
          <w:rFonts w:asciiTheme="minorHAnsi" w:hAnsiTheme="minorHAnsi" w:cstheme="minorHAnsi"/>
          <w:b/>
          <w:bCs/>
          <w:sz w:val="22"/>
          <w:szCs w:val="22"/>
        </w:rPr>
      </w:pPr>
      <w:r w:rsidRPr="00DF779F">
        <w:rPr>
          <w:rFonts w:asciiTheme="minorHAnsi" w:hAnsiTheme="minorHAnsi" w:cstheme="minorHAnsi"/>
          <w:b/>
          <w:bCs/>
          <w:sz w:val="22"/>
          <w:szCs w:val="22"/>
        </w:rPr>
        <w:t>Zabezpieczenie baterii</w:t>
      </w:r>
    </w:p>
    <w:p w14:paraId="0814B743" w14:textId="77777777" w:rsidR="00271919" w:rsidRPr="00DF779F" w:rsidRDefault="00271919" w:rsidP="00271919">
      <w:pPr>
        <w:widowControl w:val="0"/>
        <w:spacing w:before="0" w:after="0"/>
        <w:ind w:hanging="34"/>
        <w:outlineLvl w:val="3"/>
        <w:rPr>
          <w:rFonts w:asciiTheme="minorHAnsi" w:hAnsiTheme="minorHAnsi" w:cstheme="minorHAnsi"/>
          <w:sz w:val="22"/>
          <w:szCs w:val="22"/>
        </w:rPr>
      </w:pPr>
      <w:r w:rsidRPr="00DF779F">
        <w:rPr>
          <w:rFonts w:asciiTheme="minorHAnsi" w:hAnsiTheme="minorHAnsi" w:cstheme="minorHAnsi"/>
          <w:sz w:val="22"/>
          <w:szCs w:val="22"/>
        </w:rPr>
        <w:t xml:space="preserve">Baterie zabezpieczyć dwubiegunowo bezpiecznikami mocy. Na każdy biegun baterii przypada jedna </w:t>
      </w:r>
      <w:r w:rsidRPr="00DF779F">
        <w:rPr>
          <w:rFonts w:asciiTheme="minorHAnsi" w:hAnsiTheme="minorHAnsi" w:cstheme="minorHAnsi"/>
          <w:sz w:val="22"/>
          <w:szCs w:val="22"/>
        </w:rPr>
        <w:lastRenderedPageBreak/>
        <w:t>podstawa bezpiecznikowa 2-biegunowa – umożliwia to zarówno odłączenie baterii głównej jak i podłączenie baterii rezerwowej lub podłączenie rezystora rozładowczego. Podstawy umieścić w skrzynce zabezpieczeń umieszczonej na korytarzu.</w:t>
      </w:r>
    </w:p>
    <w:p w14:paraId="1DC72EA1" w14:textId="77777777" w:rsidR="00271919" w:rsidRPr="00DF779F" w:rsidRDefault="00271919" w:rsidP="00271919">
      <w:pPr>
        <w:widowControl w:val="0"/>
        <w:spacing w:before="0" w:after="0"/>
        <w:ind w:hanging="34"/>
        <w:outlineLvl w:val="3"/>
        <w:rPr>
          <w:rFonts w:asciiTheme="minorHAnsi" w:hAnsiTheme="minorHAnsi" w:cstheme="minorHAnsi"/>
          <w:sz w:val="22"/>
          <w:szCs w:val="22"/>
        </w:rPr>
      </w:pPr>
    </w:p>
    <w:p w14:paraId="7D548D2F" w14:textId="77777777" w:rsidR="00271919" w:rsidRPr="00DF779F" w:rsidRDefault="00271919" w:rsidP="00271919">
      <w:pPr>
        <w:widowControl w:val="0"/>
        <w:spacing w:before="0" w:after="0"/>
        <w:ind w:left="633" w:firstLine="0"/>
        <w:outlineLvl w:val="3"/>
        <w:rPr>
          <w:rFonts w:asciiTheme="minorHAnsi" w:hAnsiTheme="minorHAnsi" w:cstheme="minorHAnsi"/>
          <w:b/>
          <w:bCs/>
          <w:sz w:val="22"/>
          <w:szCs w:val="22"/>
        </w:rPr>
      </w:pPr>
      <w:r w:rsidRPr="00DF779F">
        <w:rPr>
          <w:rFonts w:asciiTheme="minorHAnsi" w:hAnsiTheme="minorHAnsi" w:cstheme="minorHAnsi"/>
          <w:b/>
          <w:bCs/>
          <w:sz w:val="22"/>
          <w:szCs w:val="22"/>
        </w:rPr>
        <w:t xml:space="preserve">Połączenia kablowe: </w:t>
      </w:r>
    </w:p>
    <w:p w14:paraId="2FB934D8" w14:textId="77777777" w:rsidR="00271919" w:rsidRPr="00DF779F" w:rsidRDefault="00271919" w:rsidP="00B628F4">
      <w:pPr>
        <w:widowControl w:val="0"/>
        <w:numPr>
          <w:ilvl w:val="0"/>
          <w:numId w:val="61"/>
        </w:numPr>
        <w:spacing w:before="0" w:after="0"/>
        <w:ind w:left="1134"/>
        <w:outlineLvl w:val="3"/>
        <w:rPr>
          <w:rFonts w:asciiTheme="minorHAnsi" w:hAnsiTheme="minorHAnsi" w:cstheme="minorHAnsi"/>
          <w:sz w:val="22"/>
          <w:szCs w:val="22"/>
        </w:rPr>
      </w:pPr>
      <w:r w:rsidRPr="00DF779F">
        <w:rPr>
          <w:rFonts w:asciiTheme="minorHAnsi" w:hAnsiTheme="minorHAnsi" w:cstheme="minorHAnsi"/>
          <w:sz w:val="22"/>
          <w:szCs w:val="22"/>
        </w:rPr>
        <w:t xml:space="preserve">kable miedziane w izolacji </w:t>
      </w:r>
      <w:proofErr w:type="spellStart"/>
      <w:r w:rsidRPr="00DF779F">
        <w:rPr>
          <w:rFonts w:asciiTheme="minorHAnsi" w:hAnsiTheme="minorHAnsi" w:cstheme="minorHAnsi"/>
          <w:sz w:val="22"/>
          <w:szCs w:val="22"/>
        </w:rPr>
        <w:t>bezhalogenowej</w:t>
      </w:r>
      <w:proofErr w:type="spellEnd"/>
      <w:r w:rsidRPr="00DF779F">
        <w:rPr>
          <w:rFonts w:asciiTheme="minorHAnsi" w:hAnsiTheme="minorHAnsi" w:cstheme="minorHAnsi"/>
          <w:sz w:val="22"/>
          <w:szCs w:val="22"/>
        </w:rPr>
        <w:t xml:space="preserve">, ognioodporne, </w:t>
      </w:r>
    </w:p>
    <w:p w14:paraId="6F2D042E" w14:textId="77777777" w:rsidR="00271919" w:rsidRPr="00DF779F" w:rsidRDefault="00271919" w:rsidP="00B628F4">
      <w:pPr>
        <w:widowControl w:val="0"/>
        <w:numPr>
          <w:ilvl w:val="0"/>
          <w:numId w:val="61"/>
        </w:numPr>
        <w:spacing w:before="0" w:after="0"/>
        <w:ind w:left="1134"/>
        <w:outlineLvl w:val="3"/>
        <w:rPr>
          <w:rFonts w:asciiTheme="minorHAnsi" w:hAnsiTheme="minorHAnsi" w:cstheme="minorHAnsi"/>
          <w:sz w:val="22"/>
          <w:szCs w:val="22"/>
        </w:rPr>
      </w:pPr>
      <w:r w:rsidRPr="00DF779F">
        <w:rPr>
          <w:rFonts w:asciiTheme="minorHAnsi" w:hAnsiTheme="minorHAnsi" w:cstheme="minorHAnsi"/>
          <w:sz w:val="22"/>
          <w:szCs w:val="22"/>
        </w:rPr>
        <w:t>przekroje kabli powinny wynikać z warunków technicznych (obciążenie, dopuszczalne spadki napięć, itp.).</w:t>
      </w:r>
    </w:p>
    <w:p w14:paraId="2D063E04" w14:textId="77777777" w:rsidR="00271919" w:rsidRPr="00DF779F" w:rsidRDefault="00271919" w:rsidP="00B628F4">
      <w:pPr>
        <w:widowControl w:val="0"/>
        <w:numPr>
          <w:ilvl w:val="0"/>
          <w:numId w:val="61"/>
        </w:numPr>
        <w:spacing w:before="0" w:after="0"/>
        <w:ind w:left="1134"/>
        <w:outlineLvl w:val="3"/>
        <w:rPr>
          <w:rFonts w:asciiTheme="minorHAnsi" w:hAnsiTheme="minorHAnsi" w:cstheme="minorHAnsi"/>
          <w:sz w:val="22"/>
          <w:szCs w:val="22"/>
        </w:rPr>
      </w:pPr>
      <w:r w:rsidRPr="00DF779F">
        <w:rPr>
          <w:rFonts w:asciiTheme="minorHAnsi" w:hAnsiTheme="minorHAnsi" w:cstheme="minorHAnsi"/>
          <w:sz w:val="22"/>
          <w:szCs w:val="22"/>
        </w:rPr>
        <w:t>oznaczenie kabli i zastosowanych osłon lub korytek: biegun „+”: czerwony, biegun „-”: niebieski</w:t>
      </w:r>
    </w:p>
    <w:p w14:paraId="6385E91B" w14:textId="77777777" w:rsidR="00271919" w:rsidRPr="00DF779F" w:rsidRDefault="00271919" w:rsidP="00271919">
      <w:pPr>
        <w:spacing w:before="0" w:after="0"/>
        <w:ind w:left="709" w:firstLine="0"/>
        <w:rPr>
          <w:rFonts w:asciiTheme="minorHAnsi" w:hAnsiTheme="minorHAnsi" w:cstheme="minorHAnsi"/>
          <w:sz w:val="22"/>
          <w:szCs w:val="22"/>
        </w:rPr>
      </w:pPr>
    </w:p>
    <w:p w14:paraId="234C9FDB" w14:textId="77777777" w:rsidR="00271919" w:rsidRPr="004E3302" w:rsidRDefault="00271919" w:rsidP="00271919">
      <w:pPr>
        <w:widowControl w:val="0"/>
        <w:autoSpaceDE w:val="0"/>
        <w:autoSpaceDN w:val="0"/>
        <w:adjustRightInd w:val="0"/>
        <w:spacing w:after="0"/>
        <w:ind w:left="0" w:firstLine="0"/>
        <w:rPr>
          <w:rFonts w:asciiTheme="minorHAnsi" w:hAnsiTheme="minorHAnsi" w:cstheme="minorHAnsi"/>
          <w:b/>
          <w:bCs/>
          <w:i/>
          <w:iCs/>
          <w:snapToGrid w:val="0"/>
          <w:sz w:val="22"/>
          <w:szCs w:val="22"/>
          <w:u w:val="single"/>
        </w:rPr>
      </w:pPr>
      <w:r w:rsidRPr="004E3302">
        <w:rPr>
          <w:rFonts w:asciiTheme="minorHAnsi" w:hAnsiTheme="minorHAnsi" w:cstheme="minorHAnsi"/>
          <w:b/>
          <w:bCs/>
          <w:i/>
          <w:iCs/>
          <w:snapToGrid w:val="0"/>
          <w:sz w:val="22"/>
          <w:szCs w:val="22"/>
          <w:u w:val="single"/>
        </w:rPr>
        <w:t xml:space="preserve">STANOWISKA POTRZEB WŁASNYCH </w:t>
      </w:r>
    </w:p>
    <w:p w14:paraId="4D9D4F60" w14:textId="77777777" w:rsidR="00271919" w:rsidRPr="00DF779F" w:rsidRDefault="00271919" w:rsidP="00271919">
      <w:pPr>
        <w:widowControl w:val="0"/>
        <w:autoSpaceDE w:val="0"/>
        <w:autoSpaceDN w:val="0"/>
        <w:adjustRightInd w:val="0"/>
        <w:spacing w:before="0" w:after="0"/>
        <w:ind w:left="273" w:firstLine="0"/>
        <w:rPr>
          <w:rFonts w:asciiTheme="minorHAnsi" w:hAnsiTheme="minorHAnsi" w:cstheme="minorHAnsi"/>
          <w:sz w:val="22"/>
          <w:szCs w:val="22"/>
        </w:rPr>
      </w:pPr>
      <w:r w:rsidRPr="00DF779F">
        <w:rPr>
          <w:rFonts w:asciiTheme="minorHAnsi" w:hAnsiTheme="minorHAnsi" w:cstheme="minorHAnsi"/>
          <w:sz w:val="22"/>
          <w:szCs w:val="22"/>
        </w:rPr>
        <w:t>Zasilanie podstawowe dla potrzeb własnych stacji wykonać z transformatora potrzeb własnych 15/0,4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zasilanego z linii terenowej 15kV ( np. linii 15kV Bielnik-Drzewicz), natomiast zasilanie rezerwowe wykonać z istniejącej stacji 15/0,4kV zasilanej z linii terenowej przyłączonej do innej stacji 110/15kV, niż przy zasilaniu podstawowym ( np. stacji 15/0,4kV Kaski 1 nr 2-0241 zasilanej z linii 15kV Teresin-Kaski).</w:t>
      </w:r>
    </w:p>
    <w:p w14:paraId="26FB0645" w14:textId="77777777" w:rsidR="00271919" w:rsidRPr="00DF779F" w:rsidRDefault="00271919" w:rsidP="00271919">
      <w:pPr>
        <w:widowControl w:val="0"/>
        <w:autoSpaceDE w:val="0"/>
        <w:autoSpaceDN w:val="0"/>
        <w:adjustRightInd w:val="0"/>
        <w:spacing w:before="0" w:after="0"/>
        <w:ind w:left="273" w:firstLine="0"/>
        <w:rPr>
          <w:rFonts w:asciiTheme="minorHAnsi" w:hAnsiTheme="minorHAnsi" w:cstheme="minorHAnsi"/>
          <w:sz w:val="22"/>
          <w:szCs w:val="22"/>
        </w:rPr>
      </w:pPr>
      <w:r w:rsidRPr="00DF779F">
        <w:rPr>
          <w:rFonts w:asciiTheme="minorHAnsi" w:hAnsiTheme="minorHAnsi" w:cstheme="minorHAnsi"/>
          <w:sz w:val="22"/>
          <w:szCs w:val="22"/>
        </w:rPr>
        <w:t>Transformatory potrzeb własnych dla zasilania podstawowego i rezerwowego zlokalizować na terenie stacji 110kV CPK w wydzielonych pomieszczeniach budynku stacyjnego. Pomieszczenia swoją powierzchnią, mają być dostosowane do możliwości zabudowywania w nich dławika i rezystora.</w:t>
      </w:r>
    </w:p>
    <w:p w14:paraId="5229D9DC" w14:textId="77777777" w:rsidR="00726CEC" w:rsidRPr="00726CEC" w:rsidRDefault="00726CEC" w:rsidP="00726CEC">
      <w:pPr>
        <w:pStyle w:val="Nagwek2"/>
      </w:pPr>
      <w:bookmarkStart w:id="128" w:name="_Toc216678523"/>
      <w:r w:rsidRPr="00726CEC">
        <w:t>Łączność</w:t>
      </w:r>
      <w:bookmarkEnd w:id="127"/>
      <w:bookmarkEnd w:id="128"/>
    </w:p>
    <w:p w14:paraId="26E5B301"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u w:val="single"/>
        </w:rPr>
        <w:t>Kabel światłowodowy</w:t>
      </w:r>
      <w:r w:rsidRPr="00726CEC">
        <w:rPr>
          <w:rFonts w:ascii="Calibri" w:hAnsi="Calibri"/>
          <w:sz w:val="22"/>
          <w:szCs w:val="22"/>
        </w:rPr>
        <w:t>.</w:t>
      </w:r>
    </w:p>
    <w:p w14:paraId="60728E3D" w14:textId="78F4BBE2" w:rsidR="00DC1248"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Wzdłuż projektowanych 6 linii kablowych 110kV wybudować kanalizację teletechniczną zgodnie z WBSE. Wybudować kable światłowodowe OTK (min. 96J, ITU-T G652D) od projektowanej stacji 110KV do dwutorowej linii 110kV relacji Sochaczew-Żyrardów</w:t>
      </w:r>
      <w:r w:rsidR="00DC1248">
        <w:rPr>
          <w:rFonts w:ascii="Calibri" w:hAnsi="Calibri" w:cs="Calibri"/>
          <w:sz w:val="22"/>
          <w:szCs w:val="22"/>
        </w:rPr>
        <w:t>,</w:t>
      </w:r>
      <w:r w:rsidRPr="00726CEC">
        <w:rPr>
          <w:rFonts w:ascii="Calibri" w:hAnsi="Calibri" w:cs="Calibri"/>
          <w:sz w:val="22"/>
          <w:szCs w:val="22"/>
        </w:rPr>
        <w:t xml:space="preserve"> Teresin-Bielnik oraz  jednotorowej linii 110kV Sochaczew-Grodzisk. Kable OTK powiązać z przewodami OPGW tych linii, aby uzyskać sześć nowych relacji</w:t>
      </w:r>
      <w:r w:rsidR="00DC1248">
        <w:rPr>
          <w:rFonts w:ascii="Calibri" w:hAnsi="Calibri" w:cs="Calibri"/>
          <w:sz w:val="22"/>
          <w:szCs w:val="22"/>
        </w:rPr>
        <w:t>:</w:t>
      </w:r>
    </w:p>
    <w:p w14:paraId="0F287B09" w14:textId="5A13A512"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stacja 110kV CPK – GPZ Sochaczew tor</w:t>
      </w:r>
      <w:r w:rsidR="00065BD6">
        <w:rPr>
          <w:rFonts w:ascii="Calibri" w:hAnsi="Calibri" w:cs="Calibri"/>
          <w:sz w:val="22"/>
          <w:szCs w:val="22"/>
        </w:rPr>
        <w:t xml:space="preserve"> </w:t>
      </w:r>
      <w:r>
        <w:rPr>
          <w:rFonts w:ascii="Calibri" w:hAnsi="Calibri" w:cs="Calibri"/>
          <w:sz w:val="22"/>
          <w:szCs w:val="22"/>
        </w:rPr>
        <w:t>1,</w:t>
      </w:r>
    </w:p>
    <w:p w14:paraId="0F6AE8ED" w14:textId="5FD8C908"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stacja 110kV CPK – GPZ Teresin ,</w:t>
      </w:r>
    </w:p>
    <w:p w14:paraId="4DF4BBDE" w14:textId="77777777"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stacja 110kV CPK – GPZ Bielnik,</w:t>
      </w:r>
    </w:p>
    <w:p w14:paraId="71DA361A" w14:textId="77777777"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stacja 110kV CPK – GPZ Żyrardów,</w:t>
      </w:r>
    </w:p>
    <w:p w14:paraId="3E6CC9CE" w14:textId="77777777"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stacja 110kV CPK – GPZ Sochaczew tor 2,</w:t>
      </w:r>
    </w:p>
    <w:p w14:paraId="10467FB1" w14:textId="77777777" w:rsidR="00DC1248" w:rsidRDefault="00DC1248"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 xml:space="preserve">- stacja 110kV CPK – GPZ Grodzisk </w:t>
      </w:r>
      <w:proofErr w:type="spellStart"/>
      <w:r>
        <w:rPr>
          <w:rFonts w:ascii="Calibri" w:hAnsi="Calibri" w:cs="Calibri"/>
          <w:sz w:val="22"/>
          <w:szCs w:val="22"/>
        </w:rPr>
        <w:t>Maz</w:t>
      </w:r>
      <w:proofErr w:type="spellEnd"/>
      <w:r>
        <w:rPr>
          <w:rFonts w:ascii="Calibri" w:hAnsi="Calibri" w:cs="Calibri"/>
          <w:sz w:val="22"/>
          <w:szCs w:val="22"/>
        </w:rPr>
        <w:t>.</w:t>
      </w:r>
    </w:p>
    <w:p w14:paraId="5126CB00" w14:textId="00A64D36" w:rsidR="0029708F"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 xml:space="preserve">Szczegółowy schemat spawania uzgodnić na etapie projektowania z Wydziałem Łączności PGE Dystrybucja Oddział Łódź. </w:t>
      </w:r>
      <w:r w:rsidR="0029708F">
        <w:rPr>
          <w:rFonts w:ascii="Calibri" w:hAnsi="Calibri" w:cs="Calibri"/>
          <w:sz w:val="22"/>
          <w:szCs w:val="22"/>
        </w:rPr>
        <w:t>Sposób wykonania połączeń należy skoordynować z zadania</w:t>
      </w:r>
      <w:r w:rsidR="00693033">
        <w:rPr>
          <w:rFonts w:ascii="Calibri" w:hAnsi="Calibri" w:cs="Calibri"/>
          <w:sz w:val="22"/>
          <w:szCs w:val="22"/>
        </w:rPr>
        <w:t>mi</w:t>
      </w:r>
      <w:r w:rsidR="0029708F">
        <w:rPr>
          <w:rFonts w:ascii="Calibri" w:hAnsi="Calibri" w:cs="Calibri"/>
          <w:sz w:val="22"/>
          <w:szCs w:val="22"/>
        </w:rPr>
        <w:t xml:space="preserve"> „Wymiany kabla światłowodowego w technologii OPGW w relacji Sochaczew - Żyrardów z odejściem na stacje  Teresin i Bielnik”</w:t>
      </w:r>
      <w:r w:rsidR="00693033">
        <w:rPr>
          <w:rFonts w:ascii="Calibri" w:hAnsi="Calibri" w:cs="Calibri"/>
          <w:sz w:val="22"/>
          <w:szCs w:val="22"/>
        </w:rPr>
        <w:t xml:space="preserve"> (odrębne opracowanie przez Podmiot zewnętrzny w ramach usunięcia kolizji)</w:t>
      </w:r>
      <w:r w:rsidR="00FD205A">
        <w:rPr>
          <w:rFonts w:ascii="Calibri" w:hAnsi="Calibri" w:cs="Calibri"/>
          <w:sz w:val="22"/>
          <w:szCs w:val="22"/>
        </w:rPr>
        <w:t xml:space="preserve"> oraz </w:t>
      </w:r>
      <w:r w:rsidR="00FD205A" w:rsidRPr="00FD205A">
        <w:rPr>
          <w:rFonts w:ascii="Calibri" w:hAnsi="Calibri" w:cs="Calibri"/>
          <w:sz w:val="22"/>
          <w:szCs w:val="22"/>
        </w:rPr>
        <w:t>„</w:t>
      </w:r>
      <w:r w:rsidR="00FD205A" w:rsidRPr="002A68E6">
        <w:rPr>
          <w:rFonts w:ascii="Calibri" w:hAnsi="Calibri" w:cs="Calibri"/>
          <w:sz w:val="22"/>
          <w:szCs w:val="22"/>
        </w:rPr>
        <w:t>Wymiana traktu światłowodowego na linii 110kV Sochaczew-Żyrardów”</w:t>
      </w:r>
      <w:r w:rsidR="00693033">
        <w:rPr>
          <w:rFonts w:ascii="Calibri" w:hAnsi="Calibri" w:cs="Calibri"/>
          <w:sz w:val="22"/>
          <w:szCs w:val="22"/>
        </w:rPr>
        <w:t xml:space="preserve"> </w:t>
      </w:r>
      <w:r w:rsidR="00ED29DE" w:rsidRPr="00ED29DE">
        <w:rPr>
          <w:rFonts w:ascii="Calibri" w:hAnsi="Calibri" w:cs="Calibri"/>
          <w:sz w:val="22"/>
          <w:szCs w:val="22"/>
        </w:rPr>
        <w:t>(</w:t>
      </w:r>
      <w:r w:rsidR="00EC0301">
        <w:rPr>
          <w:rFonts w:ascii="Calibri" w:hAnsi="Calibri" w:cs="Calibri"/>
          <w:sz w:val="22"/>
          <w:szCs w:val="22"/>
        </w:rPr>
        <w:t xml:space="preserve">w ramach odrębnego zadania inwestycyjnego wykonywanego </w:t>
      </w:r>
      <w:r w:rsidR="00ED29DE" w:rsidRPr="00ED29DE">
        <w:rPr>
          <w:rFonts w:ascii="Calibri" w:hAnsi="Calibri" w:cs="Calibri"/>
          <w:sz w:val="22"/>
          <w:szCs w:val="22"/>
        </w:rPr>
        <w:t xml:space="preserve">przez </w:t>
      </w:r>
      <w:r w:rsidR="00ED29DE">
        <w:rPr>
          <w:rFonts w:ascii="Calibri" w:hAnsi="Calibri" w:cs="Calibri"/>
          <w:sz w:val="22"/>
          <w:szCs w:val="22"/>
        </w:rPr>
        <w:t>PGE OŁD</w:t>
      </w:r>
      <w:r w:rsidR="00ED29DE" w:rsidRPr="00ED29DE">
        <w:rPr>
          <w:rFonts w:ascii="Calibri" w:hAnsi="Calibri" w:cs="Calibri"/>
          <w:sz w:val="22"/>
          <w:szCs w:val="22"/>
        </w:rPr>
        <w:t>)</w:t>
      </w:r>
      <w:r w:rsidR="00FD205A">
        <w:rPr>
          <w:rFonts w:ascii="Calibri" w:hAnsi="Calibri" w:cs="Calibri"/>
          <w:sz w:val="22"/>
          <w:szCs w:val="22"/>
        </w:rPr>
        <w:t>. Poniżej zamieszczamy poglądowy schemat rozszyć na docelowych traktach światłowodowych.</w:t>
      </w:r>
    </w:p>
    <w:p w14:paraId="54251DC5" w14:textId="77777777" w:rsidR="00FD205A" w:rsidRDefault="00FD205A" w:rsidP="00941EC8">
      <w:pPr>
        <w:widowControl w:val="0"/>
        <w:autoSpaceDE w:val="0"/>
        <w:autoSpaceDN w:val="0"/>
        <w:adjustRightInd w:val="0"/>
        <w:spacing w:before="0" w:after="0"/>
        <w:ind w:left="0" w:firstLine="0"/>
        <w:rPr>
          <w:rFonts w:ascii="Calibri" w:hAnsi="Calibri" w:cs="Calibri"/>
          <w:sz w:val="22"/>
          <w:szCs w:val="22"/>
        </w:rPr>
      </w:pPr>
    </w:p>
    <w:p w14:paraId="720C899E" w14:textId="7B348096" w:rsidR="00FD205A" w:rsidRDefault="00FD205A" w:rsidP="002A68E6">
      <w:pPr>
        <w:widowControl w:val="0"/>
        <w:autoSpaceDE w:val="0"/>
        <w:autoSpaceDN w:val="0"/>
        <w:adjustRightInd w:val="0"/>
        <w:spacing w:before="0" w:after="0"/>
        <w:ind w:left="0" w:firstLine="0"/>
        <w:jc w:val="center"/>
        <w:rPr>
          <w:rFonts w:ascii="Calibri" w:hAnsi="Calibri" w:cs="Calibri"/>
          <w:sz w:val="22"/>
          <w:szCs w:val="22"/>
        </w:rPr>
      </w:pPr>
      <w:r w:rsidRPr="00FD205A">
        <w:rPr>
          <w:rFonts w:ascii="Calibri" w:hAnsi="Calibri" w:cs="Calibri"/>
          <w:noProof/>
          <w:sz w:val="22"/>
          <w:szCs w:val="22"/>
        </w:rPr>
        <w:lastRenderedPageBreak/>
        <w:drawing>
          <wp:inline distT="0" distB="0" distL="0" distR="0" wp14:anchorId="2835F1C8" wp14:editId="583AA634">
            <wp:extent cx="4651513" cy="4174460"/>
            <wp:effectExtent l="0" t="0" r="0" b="0"/>
            <wp:docPr id="14858519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51989" name=""/>
                    <pic:cNvPicPr/>
                  </pic:nvPicPr>
                  <pic:blipFill>
                    <a:blip r:embed="rId11"/>
                    <a:stretch>
                      <a:fillRect/>
                    </a:stretch>
                  </pic:blipFill>
                  <pic:spPr>
                    <a:xfrm>
                      <a:off x="0" y="0"/>
                      <a:ext cx="4659710" cy="4181816"/>
                    </a:xfrm>
                    <a:prstGeom prst="rect">
                      <a:avLst/>
                    </a:prstGeom>
                  </pic:spPr>
                </pic:pic>
              </a:graphicData>
            </a:graphic>
          </wp:inline>
        </w:drawing>
      </w:r>
    </w:p>
    <w:p w14:paraId="7CE3444F" w14:textId="77777777" w:rsidR="00FD205A" w:rsidRDefault="00FD205A" w:rsidP="00941EC8">
      <w:pPr>
        <w:widowControl w:val="0"/>
        <w:autoSpaceDE w:val="0"/>
        <w:autoSpaceDN w:val="0"/>
        <w:adjustRightInd w:val="0"/>
        <w:spacing w:before="0" w:after="0"/>
        <w:ind w:left="0" w:firstLine="0"/>
        <w:rPr>
          <w:rFonts w:ascii="Calibri" w:hAnsi="Calibri" w:cs="Calibri"/>
          <w:sz w:val="22"/>
          <w:szCs w:val="22"/>
        </w:rPr>
      </w:pPr>
    </w:p>
    <w:p w14:paraId="55110807" w14:textId="488A11A9" w:rsidR="00726CEC"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 xml:space="preserve">Kable OTK zakończyć w pomieszczeniu łączności w szafie ODF na przełącznicy </w:t>
      </w:r>
      <w:r w:rsidR="006755EA">
        <w:rPr>
          <w:rFonts w:ascii="Calibri" w:hAnsi="Calibri" w:cs="Calibri"/>
          <w:sz w:val="22"/>
          <w:szCs w:val="22"/>
        </w:rPr>
        <w:t xml:space="preserve">w wykonaniu </w:t>
      </w:r>
      <w:proofErr w:type="spellStart"/>
      <w:r w:rsidR="006755EA">
        <w:rPr>
          <w:rFonts w:ascii="Calibri" w:hAnsi="Calibri" w:cs="Calibri"/>
          <w:sz w:val="22"/>
          <w:szCs w:val="22"/>
        </w:rPr>
        <w:t>przeci</w:t>
      </w:r>
      <w:r w:rsidR="00FD205A">
        <w:rPr>
          <w:rFonts w:ascii="Calibri" w:hAnsi="Calibri" w:cs="Calibri"/>
          <w:sz w:val="22"/>
          <w:szCs w:val="22"/>
        </w:rPr>
        <w:t>w</w:t>
      </w:r>
      <w:r w:rsidR="006755EA">
        <w:rPr>
          <w:rFonts w:ascii="Calibri" w:hAnsi="Calibri" w:cs="Calibri"/>
          <w:sz w:val="22"/>
          <w:szCs w:val="22"/>
        </w:rPr>
        <w:t>gryzoniowym</w:t>
      </w:r>
      <w:proofErr w:type="spellEnd"/>
      <w:r w:rsidR="006755EA">
        <w:rPr>
          <w:rFonts w:ascii="Calibri" w:hAnsi="Calibri" w:cs="Calibri"/>
          <w:sz w:val="22"/>
          <w:szCs w:val="22"/>
        </w:rPr>
        <w:t xml:space="preserve"> </w:t>
      </w:r>
      <w:proofErr w:type="spellStart"/>
      <w:r w:rsidR="006755EA">
        <w:rPr>
          <w:rFonts w:ascii="Calibri" w:hAnsi="Calibri" w:cs="Calibri"/>
          <w:sz w:val="22"/>
          <w:szCs w:val="22"/>
        </w:rPr>
        <w:t>pigtailami</w:t>
      </w:r>
      <w:proofErr w:type="spellEnd"/>
      <w:r w:rsidR="006755EA">
        <w:rPr>
          <w:rFonts w:ascii="Calibri" w:hAnsi="Calibri" w:cs="Calibri"/>
          <w:sz w:val="22"/>
          <w:szCs w:val="22"/>
        </w:rPr>
        <w:t xml:space="preserve"> </w:t>
      </w:r>
      <w:r w:rsidRPr="00726CEC">
        <w:rPr>
          <w:rFonts w:ascii="Calibri" w:hAnsi="Calibri" w:cs="Calibri"/>
          <w:sz w:val="22"/>
          <w:szCs w:val="22"/>
        </w:rPr>
        <w:t>w standardzie SC/APC.</w:t>
      </w:r>
    </w:p>
    <w:p w14:paraId="3B527A58" w14:textId="1A5B486D" w:rsidR="002D6EF1" w:rsidRDefault="002D6EF1" w:rsidP="00941EC8">
      <w:pPr>
        <w:widowControl w:val="0"/>
        <w:autoSpaceDE w:val="0"/>
        <w:autoSpaceDN w:val="0"/>
        <w:adjustRightInd w:val="0"/>
        <w:spacing w:before="0" w:after="0"/>
        <w:ind w:left="0" w:firstLine="0"/>
        <w:rPr>
          <w:rFonts w:ascii="Calibri" w:hAnsi="Calibri" w:cs="Calibri"/>
          <w:sz w:val="22"/>
          <w:szCs w:val="22"/>
        </w:rPr>
      </w:pPr>
    </w:p>
    <w:p w14:paraId="3AF62ADB" w14:textId="2803FBEE" w:rsidR="002D6EF1" w:rsidRPr="00726CEC" w:rsidRDefault="002D6EF1" w:rsidP="00941EC8">
      <w:pPr>
        <w:widowControl w:val="0"/>
        <w:autoSpaceDE w:val="0"/>
        <w:autoSpaceDN w:val="0"/>
        <w:adjustRightInd w:val="0"/>
        <w:spacing w:before="0" w:after="0"/>
        <w:ind w:left="0" w:firstLine="0"/>
        <w:rPr>
          <w:rFonts w:ascii="Calibri" w:hAnsi="Calibri" w:cs="Calibri"/>
          <w:sz w:val="22"/>
          <w:szCs w:val="22"/>
        </w:rPr>
      </w:pPr>
      <w:r>
        <w:rPr>
          <w:rFonts w:ascii="Calibri" w:hAnsi="Calibri" w:cs="Calibri"/>
          <w:sz w:val="22"/>
          <w:szCs w:val="22"/>
        </w:rPr>
        <w:t>Wzdłuż projektowanych dwóch linii kablowych od projektowanej stacji 110kV CPK do SE CPK-PSE ułożyć kanalizację teletechniczną zgodnie z WBSE. W relacji</w:t>
      </w:r>
      <w:r w:rsidR="003B3533">
        <w:rPr>
          <w:rFonts w:ascii="Calibri" w:hAnsi="Calibri" w:cs="Calibri"/>
          <w:sz w:val="22"/>
          <w:szCs w:val="22"/>
        </w:rPr>
        <w:t xml:space="preserve"> tej</w:t>
      </w:r>
      <w:r>
        <w:rPr>
          <w:rFonts w:ascii="Calibri" w:hAnsi="Calibri" w:cs="Calibri"/>
          <w:sz w:val="22"/>
          <w:szCs w:val="22"/>
        </w:rPr>
        <w:t xml:space="preserve"> wybudować dwa odrębne trakty światłowodowe każdy min 48J (ITU-T G652D), na terenach stacji kabel prowadzić w kanałach kablowych, w przypadku </w:t>
      </w:r>
      <w:r w:rsidR="003B3533">
        <w:rPr>
          <w:rFonts w:ascii="Calibri" w:hAnsi="Calibri" w:cs="Calibri"/>
          <w:sz w:val="22"/>
          <w:szCs w:val="22"/>
        </w:rPr>
        <w:t xml:space="preserve">ich </w:t>
      </w:r>
      <w:r>
        <w:rPr>
          <w:rFonts w:ascii="Calibri" w:hAnsi="Calibri" w:cs="Calibri"/>
          <w:sz w:val="22"/>
          <w:szCs w:val="22"/>
        </w:rPr>
        <w:t>braku wybudować kanalizację w postaci rur RHDP 40/3,7</w:t>
      </w:r>
      <w:r w:rsidR="00DC1248">
        <w:rPr>
          <w:rFonts w:ascii="Calibri" w:hAnsi="Calibri" w:cs="Calibri"/>
          <w:sz w:val="22"/>
          <w:szCs w:val="22"/>
        </w:rPr>
        <w:t>. Po stronie projektowanej stacji 110kV CPK</w:t>
      </w:r>
      <w:r w:rsidR="00DA6EB4">
        <w:rPr>
          <w:rFonts w:ascii="Calibri" w:hAnsi="Calibri" w:cs="Calibri"/>
          <w:sz w:val="22"/>
          <w:szCs w:val="22"/>
        </w:rPr>
        <w:t xml:space="preserve"> PGE</w:t>
      </w:r>
      <w:r w:rsidR="00DC1248">
        <w:rPr>
          <w:rFonts w:ascii="Calibri" w:hAnsi="Calibri" w:cs="Calibri"/>
          <w:sz w:val="22"/>
          <w:szCs w:val="22"/>
        </w:rPr>
        <w:t xml:space="preserve"> kable zakończyć w pomieszczeniu łączności w szafie ODF na przełącznicy w standardzie SC/APC, po</w:t>
      </w:r>
      <w:r w:rsidR="003B3533">
        <w:rPr>
          <w:rFonts w:ascii="Calibri" w:hAnsi="Calibri" w:cs="Calibri"/>
          <w:sz w:val="22"/>
          <w:szCs w:val="22"/>
        </w:rPr>
        <w:t xml:space="preserve"> </w:t>
      </w:r>
      <w:r w:rsidR="002A68E6">
        <w:rPr>
          <w:rFonts w:ascii="Calibri" w:hAnsi="Calibri" w:cs="Calibri"/>
          <w:sz w:val="22"/>
          <w:szCs w:val="22"/>
        </w:rPr>
        <w:t>stro</w:t>
      </w:r>
      <w:r w:rsidR="00DC1248">
        <w:rPr>
          <w:rFonts w:ascii="Calibri" w:hAnsi="Calibri" w:cs="Calibri"/>
          <w:sz w:val="22"/>
          <w:szCs w:val="22"/>
        </w:rPr>
        <w:t>nie SE CPK-PSE kabel zakończyć na przełącznicy w standardzie SC/APC w miejscu wskazanym przez PSE, należy przewidzieć konieczność dostarczenia dodatkowej szafy dystrybucyjnej.</w:t>
      </w:r>
    </w:p>
    <w:p w14:paraId="096DD1A5" w14:textId="77777777" w:rsidR="00726CEC" w:rsidRPr="00726CEC"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 xml:space="preserve">Stosować przełącznice światłowodowe w wykonaniu szczelnym, </w:t>
      </w:r>
      <w:proofErr w:type="spellStart"/>
      <w:r w:rsidRPr="00726CEC">
        <w:rPr>
          <w:rFonts w:ascii="Calibri" w:hAnsi="Calibri" w:cs="Calibri"/>
          <w:sz w:val="22"/>
          <w:szCs w:val="22"/>
        </w:rPr>
        <w:t>przeciwgryzoniowym</w:t>
      </w:r>
      <w:proofErr w:type="spellEnd"/>
      <w:r w:rsidRPr="00726CEC">
        <w:rPr>
          <w:rFonts w:ascii="Calibri" w:hAnsi="Calibri" w:cs="Calibri"/>
          <w:sz w:val="22"/>
          <w:szCs w:val="22"/>
        </w:rPr>
        <w:t xml:space="preserve">. </w:t>
      </w:r>
    </w:p>
    <w:p w14:paraId="551061AF" w14:textId="77777777" w:rsidR="00726CEC" w:rsidRPr="00726CEC"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 xml:space="preserve">W skrzynkach zapasu pozostawić po ok. 30 m kabla światłowodowego. </w:t>
      </w:r>
    </w:p>
    <w:p w14:paraId="70805FFF" w14:textId="77777777" w:rsidR="00726CEC" w:rsidRPr="00726CEC" w:rsidRDefault="00726CEC" w:rsidP="00941EC8">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 xml:space="preserve">Do zestawiania łączy optycznych stosować </w:t>
      </w:r>
      <w:proofErr w:type="spellStart"/>
      <w:r w:rsidRPr="00726CEC">
        <w:rPr>
          <w:rFonts w:ascii="Calibri" w:hAnsi="Calibri" w:cs="Calibri"/>
          <w:sz w:val="22"/>
          <w:szCs w:val="22"/>
        </w:rPr>
        <w:t>patchcordy</w:t>
      </w:r>
      <w:proofErr w:type="spellEnd"/>
      <w:r w:rsidRPr="00726CEC">
        <w:rPr>
          <w:rFonts w:ascii="Calibri" w:hAnsi="Calibri" w:cs="Calibri"/>
          <w:sz w:val="22"/>
          <w:szCs w:val="22"/>
        </w:rPr>
        <w:t xml:space="preserve"> zbrojone.</w:t>
      </w:r>
    </w:p>
    <w:p w14:paraId="3CC05FB3" w14:textId="77777777" w:rsidR="00DC1248" w:rsidRDefault="00DC1248" w:rsidP="00941EC8">
      <w:pPr>
        <w:widowControl w:val="0"/>
        <w:autoSpaceDE w:val="0"/>
        <w:autoSpaceDN w:val="0"/>
        <w:adjustRightInd w:val="0"/>
        <w:spacing w:before="0" w:after="0" w:line="276" w:lineRule="auto"/>
        <w:ind w:left="0" w:firstLine="0"/>
        <w:rPr>
          <w:rFonts w:ascii="Calibri" w:hAnsi="Calibri"/>
          <w:sz w:val="22"/>
          <w:szCs w:val="22"/>
        </w:rPr>
      </w:pPr>
    </w:p>
    <w:p w14:paraId="6B94DD44" w14:textId="0BE7CF4D" w:rsidR="00DC1248" w:rsidRDefault="00DC1248" w:rsidP="006755EA">
      <w:pPr>
        <w:widowControl w:val="0"/>
        <w:autoSpaceDE w:val="0"/>
        <w:autoSpaceDN w:val="0"/>
        <w:adjustRightInd w:val="0"/>
        <w:spacing w:before="0" w:after="0" w:line="276" w:lineRule="auto"/>
        <w:ind w:left="0" w:firstLine="0"/>
        <w:rPr>
          <w:rFonts w:ascii="Calibri" w:hAnsi="Calibri"/>
          <w:sz w:val="22"/>
          <w:szCs w:val="22"/>
          <w:u w:val="single"/>
        </w:rPr>
      </w:pPr>
      <w:r w:rsidRPr="002A68E6">
        <w:rPr>
          <w:rFonts w:ascii="Calibri" w:hAnsi="Calibri"/>
          <w:sz w:val="22"/>
          <w:szCs w:val="22"/>
          <w:u w:val="single"/>
        </w:rPr>
        <w:t>Łączność do stacje SE CPK-PSE</w:t>
      </w:r>
      <w:r>
        <w:rPr>
          <w:rFonts w:ascii="Calibri" w:hAnsi="Calibri"/>
          <w:sz w:val="22"/>
          <w:szCs w:val="22"/>
          <w:u w:val="single"/>
        </w:rPr>
        <w:t>.</w:t>
      </w:r>
    </w:p>
    <w:p w14:paraId="5708867A" w14:textId="42D65519" w:rsidR="00DC1248" w:rsidRPr="002A68E6" w:rsidRDefault="00DC1248" w:rsidP="006755EA">
      <w:pPr>
        <w:widowControl w:val="0"/>
        <w:autoSpaceDE w:val="0"/>
        <w:autoSpaceDN w:val="0"/>
        <w:adjustRightInd w:val="0"/>
        <w:spacing w:before="0" w:after="0" w:line="276" w:lineRule="auto"/>
        <w:ind w:left="0" w:firstLine="0"/>
        <w:rPr>
          <w:rFonts w:ascii="Calibri" w:hAnsi="Calibri"/>
          <w:sz w:val="22"/>
          <w:szCs w:val="22"/>
        </w:rPr>
      </w:pPr>
      <w:r w:rsidRPr="002A68E6">
        <w:rPr>
          <w:rFonts w:ascii="Calibri" w:hAnsi="Calibri"/>
          <w:sz w:val="22"/>
          <w:szCs w:val="22"/>
        </w:rPr>
        <w:t>Należy przewidzieć konieczność dostarczenia i instalacje dodatkowych urządzeń teletransmisyjnych w celu uruchomienia kanałów transmisyjnych (m.in. telemechanika, dane licznikowe, zabezpieczenia)</w:t>
      </w:r>
      <w:r w:rsidR="003B3533" w:rsidRPr="002A68E6">
        <w:rPr>
          <w:rFonts w:ascii="Calibri" w:hAnsi="Calibri"/>
          <w:sz w:val="22"/>
          <w:szCs w:val="22"/>
        </w:rPr>
        <w:t xml:space="preserve">, </w:t>
      </w:r>
      <w:r w:rsidR="00DA6EB4">
        <w:rPr>
          <w:rFonts w:ascii="Calibri" w:hAnsi="Calibri"/>
          <w:sz w:val="22"/>
          <w:szCs w:val="22"/>
        </w:rPr>
        <w:t>z zapewnieniem</w:t>
      </w:r>
      <w:r w:rsidR="002A68E6">
        <w:rPr>
          <w:rFonts w:ascii="Calibri" w:hAnsi="Calibri"/>
          <w:sz w:val="22"/>
          <w:szCs w:val="22"/>
        </w:rPr>
        <w:t xml:space="preserve"> </w:t>
      </w:r>
      <w:r w:rsidR="003B3533" w:rsidRPr="002A68E6">
        <w:rPr>
          <w:rFonts w:ascii="Calibri" w:hAnsi="Calibri"/>
          <w:sz w:val="22"/>
          <w:szCs w:val="22"/>
        </w:rPr>
        <w:t>redundancji kanałów transmisyjnych.</w:t>
      </w:r>
      <w:r w:rsidR="004B6FB5">
        <w:rPr>
          <w:rFonts w:ascii="Calibri" w:hAnsi="Calibri"/>
          <w:sz w:val="22"/>
          <w:szCs w:val="22"/>
        </w:rPr>
        <w:t xml:space="preserve"> Uwzględnić konieczność ewentualnego dostarczenia dodatkowych szaf dystrybucyjnych po stronie stacji SE CPK-PSE.</w:t>
      </w:r>
    </w:p>
    <w:p w14:paraId="3CF74E95" w14:textId="23F2DA02" w:rsidR="003B3533" w:rsidRPr="002A68E6" w:rsidRDefault="003B3533" w:rsidP="006755EA">
      <w:pPr>
        <w:widowControl w:val="0"/>
        <w:autoSpaceDE w:val="0"/>
        <w:autoSpaceDN w:val="0"/>
        <w:adjustRightInd w:val="0"/>
        <w:spacing w:before="0" w:after="0" w:line="276" w:lineRule="auto"/>
        <w:ind w:left="0" w:firstLine="0"/>
        <w:rPr>
          <w:rFonts w:ascii="Calibri" w:hAnsi="Calibri"/>
          <w:sz w:val="22"/>
          <w:szCs w:val="22"/>
        </w:rPr>
      </w:pPr>
      <w:r w:rsidRPr="002A68E6">
        <w:rPr>
          <w:rFonts w:ascii="Calibri" w:hAnsi="Calibri"/>
          <w:sz w:val="22"/>
          <w:szCs w:val="22"/>
        </w:rPr>
        <w:t>Projektowane urządzenia sieciowe mają spełniać wymagania podane poniżej</w:t>
      </w:r>
      <w:r w:rsidR="00DA6EB4">
        <w:rPr>
          <w:rFonts w:ascii="Calibri" w:hAnsi="Calibri"/>
          <w:sz w:val="22"/>
          <w:szCs w:val="22"/>
        </w:rPr>
        <w:t xml:space="preserve"> instalowanych w stacji CPK PGE</w:t>
      </w:r>
      <w:r w:rsidRPr="002A68E6">
        <w:rPr>
          <w:rFonts w:ascii="Calibri" w:hAnsi="Calibri"/>
          <w:sz w:val="22"/>
          <w:szCs w:val="22"/>
        </w:rPr>
        <w:t>.</w:t>
      </w:r>
    </w:p>
    <w:p w14:paraId="22E1E366" w14:textId="77777777" w:rsidR="003B3533" w:rsidRPr="00253CA6" w:rsidRDefault="003B3533" w:rsidP="006755EA">
      <w:pPr>
        <w:widowControl w:val="0"/>
        <w:autoSpaceDE w:val="0"/>
        <w:autoSpaceDN w:val="0"/>
        <w:adjustRightInd w:val="0"/>
        <w:spacing w:before="0" w:after="0" w:line="276" w:lineRule="auto"/>
        <w:ind w:left="0" w:firstLine="0"/>
        <w:rPr>
          <w:rFonts w:ascii="Calibri" w:hAnsi="Calibri"/>
          <w:sz w:val="22"/>
          <w:szCs w:val="22"/>
        </w:rPr>
      </w:pPr>
    </w:p>
    <w:p w14:paraId="103DFB83"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u w:val="single"/>
        </w:rPr>
      </w:pPr>
      <w:r w:rsidRPr="00726CEC">
        <w:rPr>
          <w:rFonts w:ascii="Calibri" w:hAnsi="Calibri" w:cs="Calibri"/>
          <w:sz w:val="22"/>
          <w:szCs w:val="22"/>
          <w:u w:val="single"/>
        </w:rPr>
        <w:t>Pomieszczenie Łączności:</w:t>
      </w:r>
    </w:p>
    <w:p w14:paraId="34E68797"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lastRenderedPageBreak/>
        <w:t xml:space="preserve">W budynku stacji zaprojektować wydzielone pomieszczenie, w którym zostaną posadowione szafy łączności spełniające poniższe wymagania: </w:t>
      </w:r>
    </w:p>
    <w:p w14:paraId="0AEC6BC6" w14:textId="7E4A1ED8"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t xml:space="preserve">- wielkość pozwalająca na ustawienie minimum </w:t>
      </w:r>
      <w:r w:rsidR="006755EA">
        <w:rPr>
          <w:rFonts w:ascii="Calibri" w:hAnsi="Calibri" w:cs="Calibri"/>
          <w:sz w:val="22"/>
          <w:szCs w:val="22"/>
        </w:rPr>
        <w:t>6</w:t>
      </w:r>
      <w:r w:rsidRPr="00726CEC">
        <w:rPr>
          <w:rFonts w:ascii="Calibri" w:hAnsi="Calibri" w:cs="Calibri"/>
          <w:sz w:val="22"/>
          <w:szCs w:val="22"/>
        </w:rPr>
        <w:t xml:space="preserve"> szaf teletransmisyjnych 42U o wymiarach 800x800 mm z dostępem z przodu i tyłu szafy; </w:t>
      </w:r>
    </w:p>
    <w:p w14:paraId="2AEF3C16"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t xml:space="preserve">- podłoga techniczna, nieiskrząca; </w:t>
      </w:r>
    </w:p>
    <w:p w14:paraId="36E0D177"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t xml:space="preserve">- sufit nie powinien być wykonany w technologii sufitu podwieszanego; </w:t>
      </w:r>
    </w:p>
    <w:p w14:paraId="69D081EB"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t xml:space="preserve">- brak otworów okiennych; </w:t>
      </w:r>
    </w:p>
    <w:p w14:paraId="7F14FD58" w14:textId="77777777" w:rsidR="00726CEC" w:rsidRPr="00726CEC" w:rsidRDefault="00726CEC" w:rsidP="006755EA">
      <w:pPr>
        <w:widowControl w:val="0"/>
        <w:autoSpaceDE w:val="0"/>
        <w:autoSpaceDN w:val="0"/>
        <w:adjustRightInd w:val="0"/>
        <w:spacing w:before="0" w:after="0"/>
        <w:ind w:left="142" w:firstLine="0"/>
        <w:rPr>
          <w:rFonts w:ascii="Calibri" w:hAnsi="Calibri" w:cs="Calibri"/>
          <w:sz w:val="22"/>
          <w:szCs w:val="22"/>
        </w:rPr>
      </w:pPr>
      <w:r w:rsidRPr="00726CEC">
        <w:rPr>
          <w:rFonts w:ascii="Calibri" w:hAnsi="Calibri" w:cs="Calibri"/>
          <w:sz w:val="22"/>
          <w:szCs w:val="22"/>
        </w:rPr>
        <w:t>- system klimatyzacji: klimatyzacja wyposażona w funkcję autostartu.</w:t>
      </w:r>
    </w:p>
    <w:p w14:paraId="6348052A" w14:textId="77777777" w:rsidR="00726CEC" w:rsidRPr="00726CEC" w:rsidRDefault="00726CEC" w:rsidP="006755EA">
      <w:pPr>
        <w:widowControl w:val="0"/>
        <w:autoSpaceDE w:val="0"/>
        <w:autoSpaceDN w:val="0"/>
        <w:adjustRightInd w:val="0"/>
        <w:spacing w:before="0" w:after="0" w:line="276" w:lineRule="auto"/>
        <w:ind w:left="0" w:firstLine="0"/>
        <w:rPr>
          <w:rFonts w:ascii="Calibri" w:hAnsi="Calibri"/>
          <w:sz w:val="22"/>
          <w:szCs w:val="22"/>
        </w:rPr>
      </w:pPr>
    </w:p>
    <w:p w14:paraId="5CFB012F" w14:textId="77777777" w:rsidR="00726CEC" w:rsidRPr="00726CEC" w:rsidRDefault="00726CEC" w:rsidP="002A68E6">
      <w:pPr>
        <w:widowControl w:val="0"/>
        <w:autoSpaceDE w:val="0"/>
        <w:autoSpaceDN w:val="0"/>
        <w:adjustRightInd w:val="0"/>
        <w:spacing w:before="0" w:after="0"/>
        <w:ind w:left="0" w:firstLine="0"/>
        <w:rPr>
          <w:rFonts w:ascii="Calibri" w:hAnsi="Calibri" w:cs="Calibri"/>
          <w:sz w:val="22"/>
          <w:szCs w:val="22"/>
          <w:u w:val="single"/>
        </w:rPr>
      </w:pPr>
      <w:r w:rsidRPr="00726CEC">
        <w:rPr>
          <w:rFonts w:ascii="Calibri" w:hAnsi="Calibri" w:cs="Calibri"/>
          <w:sz w:val="22"/>
          <w:szCs w:val="22"/>
          <w:u w:val="single"/>
        </w:rPr>
        <w:t xml:space="preserve">Zasilanie i infrastruktura </w:t>
      </w:r>
    </w:p>
    <w:p w14:paraId="24695B9E"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p>
    <w:p w14:paraId="78EC7351" w14:textId="77777777" w:rsidR="00726CEC" w:rsidRPr="00726CEC" w:rsidRDefault="00726CEC" w:rsidP="00B628F4">
      <w:pPr>
        <w:widowControl w:val="0"/>
        <w:numPr>
          <w:ilvl w:val="0"/>
          <w:numId w:val="30"/>
        </w:numPr>
        <w:tabs>
          <w:tab w:val="clear" w:pos="720"/>
          <w:tab w:val="left" w:pos="709"/>
        </w:tabs>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 xml:space="preserve">W pomieszczeniu łączności ustawić minimum dwie szafy telekomunikacyjne. W jednej z szaf zainstalować urządzenia pasywne (przełącznice światłowodowe), urządzenia aktywne zainstalować w drugiej szafie, w razie konieczności dostawić kolejną szafę. Szafy posadowić w sposób umożliwiający dostęp od przodu jak i od tyłu szafy. </w:t>
      </w:r>
    </w:p>
    <w:p w14:paraId="2210F01A"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Specyfikacja szaf: </w:t>
      </w:r>
    </w:p>
    <w:p w14:paraId="7ED7CAB7"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wymiary 42U 19’’ 800x800 mm; </w:t>
      </w:r>
    </w:p>
    <w:p w14:paraId="3788D44E"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drzwi przednie szklane, cokół o wysokości 100 mm; </w:t>
      </w:r>
    </w:p>
    <w:p w14:paraId="174577B3"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dachowy panel wentylacyjny, termostat; </w:t>
      </w:r>
    </w:p>
    <w:p w14:paraId="5F0DCCD1"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urządzenia kontrolno-pomiarowe z czujnikami umożliwiające monitorowanie temperatury i wilgotności, otwarcie drzwi, alarmy z przetwornic itp.; </w:t>
      </w:r>
    </w:p>
    <w:p w14:paraId="2F775002"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zaślepka z dławicami dla różnych średnic kabla; </w:t>
      </w:r>
    </w:p>
    <w:p w14:paraId="0F452DA7"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wykonać uziemienie szaf; </w:t>
      </w:r>
    </w:p>
    <w:p w14:paraId="6BF519BC" w14:textId="77777777" w:rsidR="00726CEC" w:rsidRPr="00726CEC" w:rsidRDefault="00726CEC" w:rsidP="00B628F4">
      <w:pPr>
        <w:widowControl w:val="0"/>
        <w:numPr>
          <w:ilvl w:val="0"/>
          <w:numId w:val="30"/>
        </w:numPr>
        <w:tabs>
          <w:tab w:val="clear" w:pos="720"/>
          <w:tab w:val="left" w:pos="709"/>
        </w:tabs>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 xml:space="preserve">Do szafy telekomunikacyjnej doprowadzić kable zasilające: </w:t>
      </w:r>
    </w:p>
    <w:p w14:paraId="34E938BC"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dwa obwody 220VDC z różnych sekcji Potrzeb Własnych 220VDC przy użyciu kabli energetycznych YKY o przekroju 3x6mm2; </w:t>
      </w:r>
    </w:p>
    <w:p w14:paraId="72324C73"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obwód 230VAC z Potrzeb Własnych 400/230VAC przy użyciu kabli energetycznych YKY o przekroju 3x4mm2; </w:t>
      </w:r>
    </w:p>
    <w:p w14:paraId="0EABD4E9"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obwody zasilające zabezpieczyć od strony rozdzielni przeciwzwarciowo bezpiecznikami topikowymi lub wyłącznikami nadmiarowo-prądowymi, w szafie zamontować panel dystrybucji napięć 220VDC (gwarantowane) i 230 VAC (niegwarantowane); </w:t>
      </w:r>
    </w:p>
    <w:p w14:paraId="7113AF4E"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szafę wyposażyć w dwie listwy zasilające 230VAC – minimum 9 gniazd wtykowych; </w:t>
      </w:r>
    </w:p>
    <w:p w14:paraId="1B393A2D" w14:textId="77777777" w:rsidR="00726CEC" w:rsidRPr="00726CEC" w:rsidRDefault="00726CEC" w:rsidP="00B628F4">
      <w:pPr>
        <w:widowControl w:val="0"/>
        <w:numPr>
          <w:ilvl w:val="0"/>
          <w:numId w:val="30"/>
        </w:numPr>
        <w:tabs>
          <w:tab w:val="clear" w:pos="720"/>
          <w:tab w:val="left" w:pos="709"/>
        </w:tabs>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 xml:space="preserve">Wybudować w szafie telekomunikacyjnej układ zasilania 220VDC/48VDC według poniższej specyfikacji: </w:t>
      </w:r>
    </w:p>
    <w:p w14:paraId="7D79871E"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przetwornice o budowie modułowej - przynajmniej cztery zasilacze pracujące równolegle w układzie – po dwa zasilacze, zasilane z różnych sekcji 220VDC (lub dwa zasilacze zasilane z 220VDC i dwa zasilacze zasilane z 230VAC); </w:t>
      </w:r>
    </w:p>
    <w:p w14:paraId="3A4181A2"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wartość prądu wyjściowego min. 12A na jeden moduł; </w:t>
      </w:r>
    </w:p>
    <w:p w14:paraId="7E1707E1"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budowa modułowa z możliwością rozbudowy o kolejne zasilacze; </w:t>
      </w:r>
    </w:p>
    <w:p w14:paraId="54962F62"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przetwornice powinny być wyposażone w interfejs zapewniający zdalny nadzór i sygnalizację awarii; </w:t>
      </w:r>
    </w:p>
    <w:p w14:paraId="20A4AB21"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napięcie 48VDC wyprowadzić na panel dystrybucji (wysokość 1U) zasilany z dwóch źródeł poprzez układ separujący (zanik napięcia na jednym ze źródeł nie powoduje przerwy w zasilaniu odbiorów), min. 10 obwodów wyjściowych - każdy zabezpieczony osobnym zabezpieczeniem; </w:t>
      </w:r>
    </w:p>
    <w:p w14:paraId="6845D35F"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wykonać jednoznaczne opisy w systemie zasilania szafy (opisy podłączonych odbiorów, źródeł zasilania itp.); </w:t>
      </w:r>
    </w:p>
    <w:p w14:paraId="59CAE12A" w14:textId="77777777" w:rsidR="00726CEC" w:rsidRPr="00726CEC" w:rsidRDefault="00726CEC" w:rsidP="00B628F4">
      <w:pPr>
        <w:widowControl w:val="0"/>
        <w:numPr>
          <w:ilvl w:val="0"/>
          <w:numId w:val="30"/>
        </w:numPr>
        <w:tabs>
          <w:tab w:val="clear" w:pos="720"/>
          <w:tab w:val="left" w:pos="709"/>
        </w:tabs>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 xml:space="preserve">Wykonać sieć strukturalną: </w:t>
      </w:r>
    </w:p>
    <w:p w14:paraId="572CF98C"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kategoria 5e; </w:t>
      </w:r>
    </w:p>
    <w:p w14:paraId="736E6246"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t xml:space="preserve">- zakończenie w szafie teletransmisyjnej na </w:t>
      </w:r>
      <w:proofErr w:type="spellStart"/>
      <w:r w:rsidRPr="00726CEC">
        <w:rPr>
          <w:rFonts w:ascii="Calibri" w:hAnsi="Calibri" w:cs="Calibri"/>
          <w:sz w:val="22"/>
          <w:szCs w:val="22"/>
        </w:rPr>
        <w:t>patchpanelu</w:t>
      </w:r>
      <w:proofErr w:type="spellEnd"/>
      <w:r w:rsidRPr="00726CEC">
        <w:rPr>
          <w:rFonts w:ascii="Calibri" w:hAnsi="Calibri" w:cs="Calibri"/>
          <w:sz w:val="22"/>
          <w:szCs w:val="22"/>
        </w:rPr>
        <w:t xml:space="preserve">; </w:t>
      </w:r>
    </w:p>
    <w:p w14:paraId="6CBCFF47" w14:textId="77777777" w:rsidR="00726CEC" w:rsidRPr="00726CEC" w:rsidRDefault="00726CEC" w:rsidP="006755EA">
      <w:pPr>
        <w:widowControl w:val="0"/>
        <w:tabs>
          <w:tab w:val="left" w:pos="993"/>
        </w:tabs>
        <w:autoSpaceDE w:val="0"/>
        <w:autoSpaceDN w:val="0"/>
        <w:adjustRightInd w:val="0"/>
        <w:spacing w:before="0" w:after="0"/>
        <w:ind w:left="720" w:firstLine="0"/>
        <w:rPr>
          <w:rFonts w:ascii="Calibri" w:hAnsi="Calibri" w:cs="Calibri"/>
          <w:sz w:val="22"/>
          <w:szCs w:val="22"/>
        </w:rPr>
      </w:pPr>
      <w:r w:rsidRPr="00726CEC">
        <w:rPr>
          <w:rFonts w:ascii="Calibri" w:hAnsi="Calibri" w:cs="Calibri"/>
          <w:sz w:val="22"/>
          <w:szCs w:val="22"/>
        </w:rPr>
        <w:lastRenderedPageBreak/>
        <w:t>- zakończenie punktów wyniesionych na gniazdach (minimum 12 punktów, m.in. w szafach: telemechaniki, potrzeb własnych, pomiaru energii, EAZ itp.).</w:t>
      </w:r>
    </w:p>
    <w:p w14:paraId="299A3DB5" w14:textId="77777777" w:rsidR="00726CEC" w:rsidRPr="00726CEC" w:rsidRDefault="00726CEC" w:rsidP="00941EC8">
      <w:pPr>
        <w:widowControl w:val="0"/>
        <w:tabs>
          <w:tab w:val="left" w:pos="993"/>
        </w:tabs>
        <w:autoSpaceDE w:val="0"/>
        <w:autoSpaceDN w:val="0"/>
        <w:adjustRightInd w:val="0"/>
        <w:spacing w:before="0" w:after="0"/>
        <w:ind w:left="0" w:firstLine="0"/>
        <w:jc w:val="left"/>
        <w:rPr>
          <w:rFonts w:ascii="Calibri" w:hAnsi="Calibri" w:cs="Calibri"/>
          <w:sz w:val="22"/>
          <w:szCs w:val="22"/>
        </w:rPr>
      </w:pPr>
    </w:p>
    <w:p w14:paraId="1D3E066C" w14:textId="77777777" w:rsidR="00726CEC" w:rsidRPr="00726CEC" w:rsidRDefault="00726CEC" w:rsidP="00941EC8">
      <w:pPr>
        <w:widowControl w:val="0"/>
        <w:autoSpaceDE w:val="0"/>
        <w:autoSpaceDN w:val="0"/>
        <w:adjustRightInd w:val="0"/>
        <w:spacing w:before="0" w:after="0"/>
        <w:ind w:left="0" w:firstLine="0"/>
        <w:rPr>
          <w:rFonts w:ascii="Calibri" w:hAnsi="Calibri" w:cs="Calibri"/>
          <w:sz w:val="22"/>
          <w:szCs w:val="22"/>
          <w:u w:val="single"/>
        </w:rPr>
      </w:pPr>
      <w:r w:rsidRPr="00726CEC">
        <w:rPr>
          <w:rFonts w:ascii="Calibri" w:hAnsi="Calibri" w:cs="Calibri"/>
          <w:sz w:val="22"/>
          <w:szCs w:val="22"/>
          <w:u w:val="single"/>
        </w:rPr>
        <w:t>Dostarczyć oraz zamontować w obiekcie:</w:t>
      </w:r>
    </w:p>
    <w:p w14:paraId="6F892384" w14:textId="77777777" w:rsidR="00726CEC" w:rsidRPr="00726CEC" w:rsidRDefault="00726CEC" w:rsidP="00B628F4">
      <w:pPr>
        <w:widowControl w:val="0"/>
        <w:numPr>
          <w:ilvl w:val="2"/>
          <w:numId w:val="31"/>
        </w:numPr>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 xml:space="preserve">aparat telefoniczny VOIP zgodny ze standardem centrali Siemens </w:t>
      </w:r>
      <w:proofErr w:type="spellStart"/>
      <w:r w:rsidRPr="00726CEC">
        <w:rPr>
          <w:rFonts w:ascii="Calibri" w:hAnsi="Calibri" w:cs="Calibri"/>
          <w:sz w:val="22"/>
          <w:szCs w:val="22"/>
        </w:rPr>
        <w:t>HiPath</w:t>
      </w:r>
      <w:proofErr w:type="spellEnd"/>
      <w:r w:rsidRPr="00726CEC">
        <w:rPr>
          <w:rFonts w:ascii="Calibri" w:hAnsi="Calibri" w:cs="Calibri"/>
          <w:sz w:val="22"/>
          <w:szCs w:val="22"/>
        </w:rPr>
        <w:t xml:space="preserve"> (HFT) w lokalizacji Łódź </w:t>
      </w:r>
      <w:proofErr w:type="spellStart"/>
      <w:r w:rsidRPr="00726CEC">
        <w:rPr>
          <w:rFonts w:ascii="Calibri" w:hAnsi="Calibri" w:cs="Calibri"/>
          <w:sz w:val="22"/>
          <w:szCs w:val="22"/>
        </w:rPr>
        <w:t>Rokicińska</w:t>
      </w:r>
      <w:proofErr w:type="spellEnd"/>
      <w:r w:rsidRPr="00726CEC">
        <w:rPr>
          <w:rFonts w:ascii="Calibri" w:hAnsi="Calibri" w:cs="Calibri"/>
          <w:sz w:val="22"/>
          <w:szCs w:val="22"/>
        </w:rPr>
        <w:t xml:space="preserve"> 146, zasilanie poprzez port </w:t>
      </w:r>
      <w:proofErr w:type="spellStart"/>
      <w:r w:rsidRPr="00726CEC">
        <w:rPr>
          <w:rFonts w:ascii="Calibri" w:hAnsi="Calibri" w:cs="Calibri"/>
          <w:sz w:val="22"/>
          <w:szCs w:val="22"/>
        </w:rPr>
        <w:t>PoE</w:t>
      </w:r>
      <w:proofErr w:type="spellEnd"/>
      <w:r w:rsidRPr="00726CEC">
        <w:rPr>
          <w:rFonts w:ascii="Calibri" w:hAnsi="Calibri" w:cs="Calibri"/>
          <w:sz w:val="22"/>
          <w:szCs w:val="22"/>
        </w:rPr>
        <w:t>, aparat podłączyć poprzez zestawione w oparciu o nowe urządzenia kanały transmisyjne;</w:t>
      </w:r>
    </w:p>
    <w:p w14:paraId="7B246753" w14:textId="77777777" w:rsidR="00726CEC" w:rsidRPr="00726CEC" w:rsidRDefault="00726CEC" w:rsidP="00B628F4">
      <w:pPr>
        <w:widowControl w:val="0"/>
        <w:numPr>
          <w:ilvl w:val="2"/>
          <w:numId w:val="31"/>
        </w:numPr>
        <w:autoSpaceDE w:val="0"/>
        <w:autoSpaceDN w:val="0"/>
        <w:adjustRightInd w:val="0"/>
        <w:spacing w:before="0" w:after="0"/>
        <w:ind w:left="709" w:hanging="349"/>
        <w:rPr>
          <w:rFonts w:ascii="Calibri" w:hAnsi="Calibri" w:cs="Calibri"/>
          <w:sz w:val="22"/>
          <w:szCs w:val="22"/>
        </w:rPr>
      </w:pPr>
      <w:r w:rsidRPr="00726CEC">
        <w:rPr>
          <w:rFonts w:ascii="Calibri" w:hAnsi="Calibri" w:cs="Calibri"/>
          <w:sz w:val="22"/>
          <w:szCs w:val="22"/>
        </w:rPr>
        <w:t>dostarczyć, zamontować i uruchomić w pomieszczeniu łączności kamerę o parametrach:</w:t>
      </w:r>
    </w:p>
    <w:p w14:paraId="3E9CDC67"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minimum 4-megapikselowy przetwornik,</w:t>
      </w:r>
    </w:p>
    <w:p w14:paraId="22C041FF"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obraz o wysokim kontraście bez poruszenia nawet w warunkach słabego  oświetlenia,</w:t>
      </w:r>
    </w:p>
    <w:p w14:paraId="44B0A0AA"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mechaniczny filtr podczerwieni,</w:t>
      </w:r>
    </w:p>
    <w:p w14:paraId="4710691B"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oświetlacz IR o zasięgu minimum 25m,</w:t>
      </w:r>
    </w:p>
    <w:p w14:paraId="5B9D185C"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bez grzałek, wentylatorów,</w:t>
      </w:r>
    </w:p>
    <w:p w14:paraId="34BC5C50"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kompresja dla głównego źródła strumienia min. H.265,</w:t>
      </w:r>
    </w:p>
    <w:p w14:paraId="392E2934" w14:textId="77777777" w:rsidR="00726CEC" w:rsidRPr="00305A91"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val="en-GB" w:eastAsia="en-US"/>
        </w:rPr>
      </w:pPr>
      <w:proofErr w:type="spellStart"/>
      <w:r w:rsidRPr="00305A91">
        <w:rPr>
          <w:rFonts w:ascii="Calibri" w:hAnsi="Calibri" w:cs="Calibri"/>
          <w:sz w:val="22"/>
          <w:szCs w:val="22"/>
          <w:lang w:val="en-GB" w:eastAsia="en-US"/>
        </w:rPr>
        <w:t>wbudowane</w:t>
      </w:r>
      <w:proofErr w:type="spellEnd"/>
      <w:r w:rsidRPr="00305A91">
        <w:rPr>
          <w:rFonts w:ascii="Calibri" w:hAnsi="Calibri" w:cs="Calibri"/>
          <w:sz w:val="22"/>
          <w:szCs w:val="22"/>
          <w:lang w:val="en-GB" w:eastAsia="en-US"/>
        </w:rPr>
        <w:t xml:space="preserve"> </w:t>
      </w:r>
      <w:proofErr w:type="spellStart"/>
      <w:r w:rsidRPr="00305A91">
        <w:rPr>
          <w:rFonts w:ascii="Calibri" w:hAnsi="Calibri" w:cs="Calibri"/>
          <w:sz w:val="22"/>
          <w:szCs w:val="22"/>
          <w:lang w:val="en-GB" w:eastAsia="en-US"/>
        </w:rPr>
        <w:t>funkcje</w:t>
      </w:r>
      <w:proofErr w:type="spellEnd"/>
      <w:r w:rsidRPr="00305A91">
        <w:rPr>
          <w:rFonts w:ascii="Calibri" w:hAnsi="Calibri" w:cs="Calibri"/>
          <w:sz w:val="22"/>
          <w:szCs w:val="22"/>
          <w:lang w:val="en-GB" w:eastAsia="en-US"/>
        </w:rPr>
        <w:t xml:space="preserve"> HLC(Highlight Compensation), BLC(Backlight Compensation),</w:t>
      </w:r>
    </w:p>
    <w:p w14:paraId="3AEF75F3"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obudowa wandaloodporna min IK10,</w:t>
      </w:r>
    </w:p>
    <w:p w14:paraId="0F8CBEC0"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brak licencji lub opłat za oprogramowanie, bezpłatne aktualizacje,</w:t>
      </w:r>
    </w:p>
    <w:p w14:paraId="257E8C91"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możliwość powiadamiana o zdarzeniach poprzez e-mail,</w:t>
      </w:r>
    </w:p>
    <w:p w14:paraId="02E34EBA"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możliwość rejestracji na karcie pamięci SD w kamerze,</w:t>
      </w:r>
    </w:p>
    <w:p w14:paraId="654FE3F3"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wbudowana karta pamięci SD 64 GB,</w:t>
      </w:r>
    </w:p>
    <w:p w14:paraId="44E8CBD4"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możliwość podłączenia kamery poprzez sieć WAN do NAS lub rejestratora,</w:t>
      </w:r>
    </w:p>
    <w:p w14:paraId="31E059BC"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 xml:space="preserve">zasilanie </w:t>
      </w:r>
      <w:proofErr w:type="spellStart"/>
      <w:r w:rsidRPr="00726CEC">
        <w:rPr>
          <w:rFonts w:ascii="Calibri" w:hAnsi="Calibri" w:cs="Calibri"/>
          <w:sz w:val="22"/>
          <w:szCs w:val="22"/>
          <w:lang w:eastAsia="en-US"/>
        </w:rPr>
        <w:t>PoE</w:t>
      </w:r>
      <w:proofErr w:type="spellEnd"/>
      <w:r w:rsidRPr="00726CEC">
        <w:rPr>
          <w:rFonts w:ascii="Calibri" w:hAnsi="Calibri" w:cs="Calibri"/>
          <w:sz w:val="22"/>
          <w:szCs w:val="22"/>
          <w:lang w:eastAsia="en-US"/>
        </w:rPr>
        <w:t>,</w:t>
      </w:r>
    </w:p>
    <w:p w14:paraId="06DF5359" w14:textId="3D8904FC"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Pr>
          <w:rFonts w:ascii="Calibri" w:hAnsi="Calibri" w:cs="Calibri"/>
          <w:sz w:val="22"/>
          <w:szCs w:val="22"/>
          <w:lang w:eastAsia="en-US"/>
        </w:rPr>
        <w:t>k</w:t>
      </w:r>
      <w:r w:rsidRPr="00726CEC">
        <w:rPr>
          <w:rFonts w:ascii="Calibri" w:hAnsi="Calibri" w:cs="Calibri"/>
          <w:sz w:val="22"/>
          <w:szCs w:val="22"/>
          <w:lang w:eastAsia="en-US"/>
        </w:rPr>
        <w:t>amerę zamontować w pomieszczeniu łączności w taki sposób, aby były widziane szafy telekomunikacyjne.</w:t>
      </w:r>
    </w:p>
    <w:p w14:paraId="408D2CD6" w14:textId="73F71EA3" w:rsidR="00726CEC" w:rsidRPr="002A68E6"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u w:val="single"/>
          <w:lang w:eastAsia="en-US"/>
        </w:rPr>
      </w:pPr>
      <w:r w:rsidRPr="002A68E6">
        <w:rPr>
          <w:rFonts w:ascii="Calibri" w:hAnsi="Calibri" w:cs="Calibri"/>
          <w:sz w:val="22"/>
          <w:szCs w:val="22"/>
          <w:u w:val="single"/>
          <w:lang w:eastAsia="en-US"/>
        </w:rPr>
        <w:t xml:space="preserve">kamera nie powinna być podłączona do systemu SOT stacji tylko włączona bezpośrednio w przełącznik główny stacyjny. </w:t>
      </w:r>
    </w:p>
    <w:p w14:paraId="02FDEDBB" w14:textId="77777777" w:rsidR="00726CEC" w:rsidRPr="00726CEC" w:rsidRDefault="00726CEC" w:rsidP="00B628F4">
      <w:pPr>
        <w:widowControl w:val="0"/>
        <w:numPr>
          <w:ilvl w:val="0"/>
          <w:numId w:val="30"/>
        </w:numPr>
        <w:autoSpaceDE w:val="0"/>
        <w:autoSpaceDN w:val="0"/>
        <w:adjustRightInd w:val="0"/>
        <w:spacing w:before="0" w:after="0"/>
        <w:contextualSpacing/>
        <w:rPr>
          <w:rFonts w:ascii="Calibri" w:hAnsi="Calibri" w:cs="Calibri"/>
          <w:sz w:val="22"/>
          <w:szCs w:val="22"/>
          <w:lang w:eastAsia="en-US"/>
        </w:rPr>
      </w:pPr>
      <w:r w:rsidRPr="00726CEC">
        <w:rPr>
          <w:rFonts w:ascii="Calibri" w:hAnsi="Calibri" w:cs="Calibri"/>
          <w:sz w:val="22"/>
          <w:szCs w:val="22"/>
          <w:lang w:eastAsia="en-US"/>
        </w:rPr>
        <w:t>Dostarczyć i zamontować centralkę kontrolno-pomiarową (np. SETEBOS) wraz z czujnikami:</w:t>
      </w:r>
    </w:p>
    <w:p w14:paraId="6295C632"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monitorowanie temperatury i wilgotności w szafie łączności;</w:t>
      </w:r>
    </w:p>
    <w:p w14:paraId="26E14CE7"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monitorowanie alarmów przetwornic 48VDC;</w:t>
      </w:r>
    </w:p>
    <w:p w14:paraId="2C4FF124"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monitorowanie panelu dystrybucji 48VDC;</w:t>
      </w:r>
    </w:p>
    <w:p w14:paraId="11E2C6E6"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monitorowanie zaniku zasilania 230VAC;</w:t>
      </w:r>
    </w:p>
    <w:p w14:paraId="43F530B5"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interfejs RJ45 Ethernet 10Mbit/s (zarządzanie poprzez przeglądarkę WWW);</w:t>
      </w:r>
    </w:p>
    <w:p w14:paraId="305A70B6"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zasilanie 48 VDC;</w:t>
      </w:r>
    </w:p>
    <w:p w14:paraId="18A2D19B" w14:textId="77777777" w:rsidR="00726CEC" w:rsidRPr="00726CEC" w:rsidRDefault="00726CEC" w:rsidP="00B628F4">
      <w:pPr>
        <w:widowControl w:val="0"/>
        <w:numPr>
          <w:ilvl w:val="0"/>
          <w:numId w:val="35"/>
        </w:numPr>
        <w:autoSpaceDE w:val="0"/>
        <w:autoSpaceDN w:val="0"/>
        <w:adjustRightInd w:val="0"/>
        <w:spacing w:before="0" w:after="0"/>
        <w:ind w:left="709" w:hanging="349"/>
        <w:contextualSpacing/>
        <w:rPr>
          <w:rFonts w:ascii="Calibri" w:hAnsi="Calibri" w:cs="Calibri"/>
          <w:color w:val="000000"/>
          <w:sz w:val="22"/>
          <w:szCs w:val="22"/>
        </w:rPr>
      </w:pPr>
      <w:r w:rsidRPr="00726CEC">
        <w:rPr>
          <w:rFonts w:ascii="Calibri" w:hAnsi="Calibri" w:cs="Calibri"/>
          <w:color w:val="000000"/>
          <w:sz w:val="22"/>
          <w:szCs w:val="22"/>
        </w:rPr>
        <w:t>Dostarczyć, zamontować w szafie łączności i uruchomić trzy urządzenia transmisyjne, które umożliwią transmisję sygnałów na potrzeby telemechaniki, transmisji próbek licznikowych, kanałów inżynierskich: konwerter Ethernet 10/100Mb – RS232/RS485 (min. 16 portów, szyfrowana transmisja danych, zasilanie 48VDC).</w:t>
      </w:r>
    </w:p>
    <w:p w14:paraId="394FF8D5" w14:textId="77777777" w:rsidR="00726CEC" w:rsidRPr="00726CEC" w:rsidRDefault="00726CEC" w:rsidP="00B628F4">
      <w:pPr>
        <w:widowControl w:val="0"/>
        <w:numPr>
          <w:ilvl w:val="0"/>
          <w:numId w:val="35"/>
        </w:numPr>
        <w:autoSpaceDE w:val="0"/>
        <w:autoSpaceDN w:val="0"/>
        <w:adjustRightInd w:val="0"/>
        <w:spacing w:before="0" w:after="0"/>
        <w:ind w:left="709" w:hanging="349"/>
        <w:contextualSpacing/>
        <w:rPr>
          <w:rFonts w:ascii="Calibri" w:hAnsi="Calibri" w:cs="Calibri"/>
          <w:color w:val="000000"/>
          <w:sz w:val="22"/>
          <w:szCs w:val="22"/>
        </w:rPr>
      </w:pPr>
      <w:r w:rsidRPr="00726CEC">
        <w:rPr>
          <w:rFonts w:ascii="Calibri" w:hAnsi="Calibri" w:cs="Calibri"/>
          <w:color w:val="000000"/>
          <w:sz w:val="22"/>
          <w:szCs w:val="22"/>
        </w:rPr>
        <w:t xml:space="preserve">Należy zamontować światłowodowe i miedziane kable krosowe dla instalacji połączeń </w:t>
      </w:r>
      <w:r w:rsidRPr="00726CEC">
        <w:rPr>
          <w:rFonts w:ascii="Calibri" w:hAnsi="Calibri" w:cs="Calibri"/>
          <w:color w:val="000000"/>
          <w:sz w:val="22"/>
          <w:szCs w:val="22"/>
        </w:rPr>
        <w:br/>
        <w:t>i przełączników.</w:t>
      </w:r>
    </w:p>
    <w:p w14:paraId="4C09CED5" w14:textId="77777777" w:rsidR="00726CEC" w:rsidRPr="00726CEC" w:rsidRDefault="00726CEC" w:rsidP="006755EA">
      <w:pPr>
        <w:widowControl w:val="0"/>
        <w:tabs>
          <w:tab w:val="left" w:pos="993"/>
        </w:tabs>
        <w:autoSpaceDE w:val="0"/>
        <w:autoSpaceDN w:val="0"/>
        <w:adjustRightInd w:val="0"/>
        <w:spacing w:before="0" w:after="0"/>
        <w:ind w:left="0" w:firstLine="0"/>
        <w:rPr>
          <w:rFonts w:ascii="Calibri" w:hAnsi="Calibri" w:cs="Calibri"/>
          <w:sz w:val="22"/>
          <w:szCs w:val="22"/>
        </w:rPr>
      </w:pPr>
    </w:p>
    <w:p w14:paraId="2F5097D9" w14:textId="77777777" w:rsidR="00726CEC" w:rsidRPr="00726CEC" w:rsidRDefault="00726CEC" w:rsidP="006755EA">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Dostarczyć i zamontować dla potrzeb rezerwowej transmisji telemechaniki i danych licznikowych:</w:t>
      </w:r>
    </w:p>
    <w:p w14:paraId="41DE2AD6" w14:textId="77777777" w:rsidR="00726CEC" w:rsidRPr="00726CEC" w:rsidRDefault="00726CEC" w:rsidP="00B628F4">
      <w:pPr>
        <w:widowControl w:val="0"/>
        <w:numPr>
          <w:ilvl w:val="2"/>
          <w:numId w:val="31"/>
        </w:numPr>
        <w:autoSpaceDE w:val="0"/>
        <w:autoSpaceDN w:val="0"/>
        <w:adjustRightInd w:val="0"/>
        <w:spacing w:before="0" w:after="0"/>
        <w:ind w:hanging="294"/>
        <w:rPr>
          <w:rFonts w:ascii="Calibri" w:hAnsi="Calibri" w:cs="Calibri"/>
          <w:sz w:val="22"/>
          <w:szCs w:val="22"/>
        </w:rPr>
      </w:pPr>
      <w:r w:rsidRPr="00726CEC">
        <w:rPr>
          <w:rFonts w:ascii="Calibri" w:hAnsi="Calibri" w:cs="Calibri"/>
          <w:sz w:val="22"/>
          <w:szCs w:val="22"/>
        </w:rPr>
        <w:t>Modem/router GSM – spełniający wymagania:</w:t>
      </w:r>
    </w:p>
    <w:p w14:paraId="031E26C4"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możliwość pracy 2 kart SIM (jedna karta działa jako podstawowa droga transmisji a druga zapewnia redundancję połączenia jeśli przez pierwszą nie ma połączenia)</w:t>
      </w:r>
    </w:p>
    <w:p w14:paraId="36C1EA92"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- 1 wejście antenowe;</w:t>
      </w:r>
    </w:p>
    <w:p w14:paraId="4850B3D0"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xml:space="preserve">- Interfejs ETH 1 x 10/100 </w:t>
      </w:r>
      <w:proofErr w:type="spellStart"/>
      <w:r w:rsidRPr="00726CEC">
        <w:rPr>
          <w:rFonts w:ascii="Calibri" w:hAnsi="Calibri" w:cs="Calibri"/>
          <w:sz w:val="22"/>
          <w:szCs w:val="22"/>
        </w:rPr>
        <w:t>Mbps</w:t>
      </w:r>
      <w:proofErr w:type="spellEnd"/>
      <w:r w:rsidRPr="00726CEC">
        <w:rPr>
          <w:rFonts w:ascii="Calibri" w:hAnsi="Calibri" w:cs="Calibri"/>
          <w:sz w:val="22"/>
          <w:szCs w:val="22"/>
        </w:rPr>
        <w:t>;</w:t>
      </w:r>
    </w:p>
    <w:p w14:paraId="5B0F1C0F"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zasilanie 9 – 48 V DC;</w:t>
      </w:r>
    </w:p>
    <w:p w14:paraId="6DB4620F"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temperatura pracy w zakresie od  -25 do +60°C;</w:t>
      </w:r>
    </w:p>
    <w:p w14:paraId="3C22C7E5"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klasa szczelności co najmniej IP30;</w:t>
      </w:r>
    </w:p>
    <w:p w14:paraId="1D5B6C24"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lastRenderedPageBreak/>
        <w:t>- Montaż na szynie DIN;</w:t>
      </w:r>
    </w:p>
    <w:p w14:paraId="575073A6"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obsługa GPRS/3G/LTE i LTE 450;</w:t>
      </w:r>
    </w:p>
    <w:p w14:paraId="44718796"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lang w:val="en-GB"/>
        </w:rPr>
      </w:pPr>
      <w:r w:rsidRPr="00726CEC">
        <w:rPr>
          <w:rFonts w:ascii="Calibri" w:hAnsi="Calibri" w:cs="Calibri"/>
          <w:sz w:val="22"/>
          <w:szCs w:val="22"/>
          <w:lang w:val="en-GB"/>
        </w:rPr>
        <w:t>- IPsec /VPN/GRE/L2TP/PPTP;</w:t>
      </w:r>
    </w:p>
    <w:p w14:paraId="526B6EFE"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Zarządzanie przez serwer, lokalnie poprzez LAN, oraz zdalnie poprzez WAN;</w:t>
      </w:r>
    </w:p>
    <w:p w14:paraId="7E8DD685"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konfiguracja WEB serwer, SSH, kopia zapasowa i odtwarzanie konfiguracji;</w:t>
      </w:r>
    </w:p>
    <w:p w14:paraId="226B9AC3" w14:textId="77777777" w:rsidR="00726CEC" w:rsidRPr="00726CEC" w:rsidRDefault="00726CEC" w:rsidP="006755EA">
      <w:pPr>
        <w:widowControl w:val="0"/>
        <w:autoSpaceDE w:val="0"/>
        <w:autoSpaceDN w:val="0"/>
        <w:adjustRightInd w:val="0"/>
        <w:spacing w:before="0" w:after="0"/>
        <w:ind w:left="495" w:firstLine="0"/>
        <w:contextualSpacing/>
        <w:rPr>
          <w:rFonts w:ascii="Calibri" w:hAnsi="Calibri" w:cs="Calibri"/>
          <w:sz w:val="22"/>
          <w:szCs w:val="22"/>
        </w:rPr>
      </w:pPr>
      <w:r w:rsidRPr="00726CEC">
        <w:rPr>
          <w:rFonts w:ascii="Calibri" w:hAnsi="Calibri" w:cs="Calibri"/>
          <w:sz w:val="22"/>
          <w:szCs w:val="22"/>
        </w:rPr>
        <w:t xml:space="preserve">- Protokoły PPP, </w:t>
      </w:r>
      <w:proofErr w:type="spellStart"/>
      <w:r w:rsidRPr="00726CEC">
        <w:rPr>
          <w:rFonts w:ascii="Calibri" w:hAnsi="Calibri" w:cs="Calibri"/>
          <w:sz w:val="22"/>
          <w:szCs w:val="22"/>
        </w:rPr>
        <w:t>PPPoE</w:t>
      </w:r>
      <w:proofErr w:type="spellEnd"/>
      <w:r w:rsidRPr="00726CEC">
        <w:rPr>
          <w:rFonts w:ascii="Calibri" w:hAnsi="Calibri" w:cs="Calibri"/>
          <w:sz w:val="22"/>
          <w:szCs w:val="22"/>
        </w:rPr>
        <w:t xml:space="preserve">, TCP, UDP, DHCP, ICMP, NAT,  </w:t>
      </w:r>
      <w:proofErr w:type="spellStart"/>
      <w:r w:rsidRPr="00726CEC">
        <w:rPr>
          <w:rFonts w:ascii="Calibri" w:hAnsi="Calibri" w:cs="Calibri"/>
          <w:sz w:val="22"/>
          <w:szCs w:val="22"/>
        </w:rPr>
        <w:t>HTTPs</w:t>
      </w:r>
      <w:proofErr w:type="spellEnd"/>
      <w:r w:rsidRPr="00726CEC">
        <w:rPr>
          <w:rFonts w:ascii="Calibri" w:hAnsi="Calibri" w:cs="Calibri"/>
          <w:sz w:val="22"/>
          <w:szCs w:val="22"/>
        </w:rPr>
        <w:t>, DNS, ARP, NTP, SMTP, VLAN, SSH2, DDNS, LwM2M, TR069</w:t>
      </w:r>
    </w:p>
    <w:p w14:paraId="151CFACB" w14:textId="77777777" w:rsidR="00726CEC" w:rsidRPr="00726CEC" w:rsidRDefault="00726CEC" w:rsidP="00B628F4">
      <w:pPr>
        <w:widowControl w:val="0"/>
        <w:numPr>
          <w:ilvl w:val="2"/>
          <w:numId w:val="31"/>
        </w:numPr>
        <w:autoSpaceDE w:val="0"/>
        <w:autoSpaceDN w:val="0"/>
        <w:adjustRightInd w:val="0"/>
        <w:spacing w:before="0" w:after="0"/>
        <w:ind w:hanging="294"/>
        <w:rPr>
          <w:rFonts w:ascii="Calibri" w:hAnsi="Calibri" w:cs="Calibri"/>
          <w:sz w:val="22"/>
          <w:szCs w:val="22"/>
        </w:rPr>
      </w:pPr>
      <w:r w:rsidRPr="00726CEC">
        <w:rPr>
          <w:rFonts w:ascii="Calibri" w:hAnsi="Calibri" w:cs="Calibri"/>
          <w:sz w:val="22"/>
          <w:szCs w:val="22"/>
        </w:rPr>
        <w:t>Kartę SIM dostarczy Zamawiający.</w:t>
      </w:r>
    </w:p>
    <w:p w14:paraId="13CDE9F5" w14:textId="77777777" w:rsidR="00726CEC" w:rsidRPr="00726CEC" w:rsidRDefault="00726CEC" w:rsidP="006755EA">
      <w:pPr>
        <w:widowControl w:val="0"/>
        <w:autoSpaceDE w:val="0"/>
        <w:autoSpaceDN w:val="0"/>
        <w:adjustRightInd w:val="0"/>
        <w:spacing w:before="0" w:after="0"/>
        <w:ind w:left="709" w:firstLine="0"/>
        <w:rPr>
          <w:rFonts w:ascii="Calibri" w:hAnsi="Calibri" w:cs="Calibri"/>
          <w:sz w:val="22"/>
          <w:szCs w:val="22"/>
        </w:rPr>
      </w:pPr>
    </w:p>
    <w:p w14:paraId="5D9515EC" w14:textId="77777777" w:rsidR="00726CEC" w:rsidRPr="00726CEC" w:rsidRDefault="00726CEC" w:rsidP="006755EA">
      <w:pPr>
        <w:widowControl w:val="0"/>
        <w:autoSpaceDE w:val="0"/>
        <w:autoSpaceDN w:val="0"/>
        <w:adjustRightInd w:val="0"/>
        <w:spacing w:before="0" w:after="0"/>
        <w:ind w:left="0" w:firstLine="0"/>
        <w:rPr>
          <w:rFonts w:ascii="Calibri" w:hAnsi="Calibri" w:cs="Calibri"/>
          <w:sz w:val="22"/>
          <w:szCs w:val="22"/>
        </w:rPr>
      </w:pPr>
      <w:r w:rsidRPr="00726CEC">
        <w:rPr>
          <w:rFonts w:ascii="Calibri" w:hAnsi="Calibri" w:cs="Calibri"/>
          <w:sz w:val="22"/>
          <w:szCs w:val="22"/>
        </w:rPr>
        <w:t>Należy uruchomić transmisję po łączu podstawowym i rezerwowym następujących sygnałów:</w:t>
      </w:r>
    </w:p>
    <w:p w14:paraId="3B76E83C" w14:textId="77777777" w:rsidR="00726CEC" w:rsidRPr="00726CEC" w:rsidRDefault="00726CEC" w:rsidP="00B628F4">
      <w:pPr>
        <w:widowControl w:val="0"/>
        <w:numPr>
          <w:ilvl w:val="0"/>
          <w:numId w:val="34"/>
        </w:numPr>
        <w:autoSpaceDE w:val="0"/>
        <w:autoSpaceDN w:val="0"/>
        <w:adjustRightInd w:val="0"/>
        <w:spacing w:before="0" w:after="0"/>
        <w:contextualSpacing/>
        <w:rPr>
          <w:rFonts w:ascii="Calibri" w:eastAsia="Calibri" w:hAnsi="Calibri" w:cs="Calibri"/>
          <w:color w:val="000000"/>
          <w:sz w:val="22"/>
          <w:szCs w:val="22"/>
        </w:rPr>
      </w:pPr>
      <w:r w:rsidRPr="00726CEC">
        <w:rPr>
          <w:rFonts w:ascii="Calibri" w:eastAsia="Calibri" w:hAnsi="Calibri" w:cs="Calibri"/>
          <w:color w:val="000000"/>
          <w:sz w:val="22"/>
          <w:szCs w:val="22"/>
        </w:rPr>
        <w:t xml:space="preserve">telemechanika; </w:t>
      </w:r>
    </w:p>
    <w:p w14:paraId="5BB8160B" w14:textId="77777777" w:rsidR="00726CEC" w:rsidRPr="00726CEC" w:rsidRDefault="00726CEC" w:rsidP="00B628F4">
      <w:pPr>
        <w:widowControl w:val="0"/>
        <w:numPr>
          <w:ilvl w:val="0"/>
          <w:numId w:val="34"/>
        </w:numPr>
        <w:autoSpaceDE w:val="0"/>
        <w:autoSpaceDN w:val="0"/>
        <w:adjustRightInd w:val="0"/>
        <w:spacing w:before="0" w:after="0"/>
        <w:contextualSpacing/>
        <w:rPr>
          <w:rFonts w:ascii="Calibri" w:eastAsia="Calibri" w:hAnsi="Calibri" w:cs="Calibri"/>
          <w:color w:val="000000"/>
          <w:sz w:val="22"/>
          <w:szCs w:val="22"/>
        </w:rPr>
      </w:pPr>
      <w:r w:rsidRPr="00726CEC">
        <w:rPr>
          <w:rFonts w:ascii="Calibri" w:eastAsia="Calibri" w:hAnsi="Calibri" w:cs="Calibri"/>
          <w:color w:val="000000"/>
          <w:sz w:val="22"/>
          <w:szCs w:val="22"/>
        </w:rPr>
        <w:t>kanał inżynierski;</w:t>
      </w:r>
    </w:p>
    <w:p w14:paraId="40329271" w14:textId="77777777" w:rsidR="00726CEC" w:rsidRPr="00726CEC" w:rsidRDefault="00726CEC" w:rsidP="00B628F4">
      <w:pPr>
        <w:widowControl w:val="0"/>
        <w:numPr>
          <w:ilvl w:val="0"/>
          <w:numId w:val="34"/>
        </w:numPr>
        <w:autoSpaceDE w:val="0"/>
        <w:autoSpaceDN w:val="0"/>
        <w:adjustRightInd w:val="0"/>
        <w:spacing w:before="0" w:after="0"/>
        <w:contextualSpacing/>
        <w:rPr>
          <w:rFonts w:ascii="Calibri" w:eastAsia="Calibri" w:hAnsi="Calibri" w:cs="Calibri"/>
          <w:color w:val="000000"/>
          <w:sz w:val="22"/>
          <w:szCs w:val="22"/>
        </w:rPr>
      </w:pPr>
      <w:r w:rsidRPr="00726CEC">
        <w:rPr>
          <w:rFonts w:ascii="Calibri" w:hAnsi="Calibri" w:cs="Calibri"/>
          <w:sz w:val="22"/>
          <w:szCs w:val="22"/>
        </w:rPr>
        <w:t>sygnalizacja z centralki kontrolno-pomiarowej;</w:t>
      </w:r>
    </w:p>
    <w:p w14:paraId="6F28C8D9" w14:textId="77777777" w:rsidR="00726CEC" w:rsidRPr="00726CEC" w:rsidRDefault="00726CEC" w:rsidP="00B628F4">
      <w:pPr>
        <w:widowControl w:val="0"/>
        <w:numPr>
          <w:ilvl w:val="0"/>
          <w:numId w:val="34"/>
        </w:numPr>
        <w:autoSpaceDE w:val="0"/>
        <w:autoSpaceDN w:val="0"/>
        <w:adjustRightInd w:val="0"/>
        <w:spacing w:before="0" w:after="0"/>
        <w:contextualSpacing/>
        <w:rPr>
          <w:rFonts w:ascii="Calibri" w:eastAsia="Calibri" w:hAnsi="Calibri" w:cs="Calibri"/>
          <w:color w:val="000000"/>
          <w:sz w:val="22"/>
          <w:szCs w:val="22"/>
        </w:rPr>
      </w:pPr>
      <w:r w:rsidRPr="00726CEC">
        <w:rPr>
          <w:rFonts w:ascii="Calibri" w:eastAsia="Calibri" w:hAnsi="Calibri" w:cs="Calibri"/>
          <w:color w:val="000000"/>
          <w:sz w:val="22"/>
          <w:szCs w:val="22"/>
        </w:rPr>
        <w:t>transmisji danych licznikowych.</w:t>
      </w:r>
    </w:p>
    <w:p w14:paraId="0AAE17D5" w14:textId="77777777" w:rsidR="00726CEC" w:rsidRPr="00726CEC" w:rsidRDefault="00726CEC" w:rsidP="00941EC8">
      <w:pPr>
        <w:widowControl w:val="0"/>
        <w:autoSpaceDE w:val="0"/>
        <w:autoSpaceDN w:val="0"/>
        <w:adjustRightInd w:val="0"/>
        <w:spacing w:before="0" w:after="0"/>
        <w:ind w:left="709" w:firstLine="0"/>
        <w:contextualSpacing/>
        <w:jc w:val="left"/>
        <w:rPr>
          <w:rFonts w:ascii="Calibri" w:hAnsi="Calibri" w:cs="Calibri"/>
          <w:color w:val="000000"/>
          <w:sz w:val="22"/>
          <w:szCs w:val="22"/>
        </w:rPr>
      </w:pPr>
    </w:p>
    <w:p w14:paraId="53D5088A" w14:textId="77777777" w:rsidR="00726CEC" w:rsidRPr="00726CEC" w:rsidRDefault="00726CEC" w:rsidP="00941EC8">
      <w:pPr>
        <w:widowControl w:val="0"/>
        <w:autoSpaceDE w:val="0"/>
        <w:autoSpaceDN w:val="0"/>
        <w:adjustRightInd w:val="0"/>
        <w:spacing w:before="0" w:after="0"/>
        <w:ind w:left="0" w:firstLine="0"/>
        <w:rPr>
          <w:rFonts w:ascii="Calibri" w:hAnsi="Calibri" w:cs="Calibri"/>
          <w:sz w:val="22"/>
          <w:szCs w:val="22"/>
          <w:u w:val="single"/>
        </w:rPr>
      </w:pPr>
      <w:r w:rsidRPr="00726CEC">
        <w:rPr>
          <w:rFonts w:ascii="Calibri" w:hAnsi="Calibri" w:cs="Calibri"/>
          <w:sz w:val="22"/>
          <w:szCs w:val="22"/>
          <w:u w:val="single"/>
        </w:rPr>
        <w:t>Wymagania w zakresie urządzeń sieciowych.</w:t>
      </w:r>
    </w:p>
    <w:p w14:paraId="2EB57EE2"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Należy dostarczyć, zamontować, skonfigurować i uruchomić minimum 2 przemysłowe przełączniki sieciowe spełniające wszystkie poniższe wymagania</w:t>
      </w:r>
    </w:p>
    <w:p w14:paraId="03D17B66"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Wymagania w zakresie portów -  posiadające minimum 28 portów (każdy przełącznik po 28 portów) typu Ethernet, w tym (specyfikacja pojedynczego przełącznika):</w:t>
      </w:r>
    </w:p>
    <w:p w14:paraId="16779C9F"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 xml:space="preserve"> minimum 4 portów SFP z możliwością doboru szerokiej gamy modułów SFP</w:t>
      </w:r>
    </w:p>
    <w:p w14:paraId="05C04BD1"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 xml:space="preserve"> minimum 24 portów miedzianych o prędkościach 10/100/1000 wspierających </w:t>
      </w:r>
      <w:proofErr w:type="spellStart"/>
      <w:r w:rsidRPr="00726CEC">
        <w:rPr>
          <w:rFonts w:ascii="Calibri" w:hAnsi="Calibri" w:cs="Calibri"/>
          <w:sz w:val="22"/>
          <w:szCs w:val="22"/>
          <w:lang w:eastAsia="en-US"/>
        </w:rPr>
        <w:t>PoE</w:t>
      </w:r>
      <w:proofErr w:type="spellEnd"/>
      <w:r w:rsidRPr="00726CEC">
        <w:rPr>
          <w:rFonts w:ascii="Calibri" w:hAnsi="Calibri" w:cs="Calibri"/>
          <w:sz w:val="22"/>
          <w:szCs w:val="22"/>
          <w:lang w:eastAsia="en-US"/>
        </w:rPr>
        <w:t>/</w:t>
      </w:r>
      <w:proofErr w:type="spellStart"/>
      <w:r w:rsidRPr="00726CEC">
        <w:rPr>
          <w:rFonts w:ascii="Calibri" w:hAnsi="Calibri" w:cs="Calibri"/>
          <w:sz w:val="22"/>
          <w:szCs w:val="22"/>
          <w:lang w:eastAsia="en-US"/>
        </w:rPr>
        <w:t>PoE</w:t>
      </w:r>
      <w:proofErr w:type="spellEnd"/>
      <w:r w:rsidRPr="00726CEC">
        <w:rPr>
          <w:rFonts w:ascii="Calibri" w:hAnsi="Calibri" w:cs="Calibri"/>
          <w:sz w:val="22"/>
          <w:szCs w:val="22"/>
          <w:lang w:eastAsia="en-US"/>
        </w:rPr>
        <w:t>+.</w:t>
      </w:r>
    </w:p>
    <w:p w14:paraId="3D29526A" w14:textId="77777777" w:rsidR="00726CEC" w:rsidRPr="00726CEC" w:rsidRDefault="00726CEC" w:rsidP="00B628F4">
      <w:pPr>
        <w:widowControl w:val="0"/>
        <w:numPr>
          <w:ilvl w:val="0"/>
          <w:numId w:val="32"/>
        </w:numPr>
        <w:tabs>
          <w:tab w:val="decimal" w:pos="1008"/>
        </w:tabs>
        <w:autoSpaceDE w:val="0"/>
        <w:autoSpaceDN w:val="0"/>
        <w:adjustRightInd w:val="0"/>
        <w:spacing w:before="0" w:after="0"/>
        <w:ind w:right="72"/>
        <w:contextualSpacing/>
        <w:rPr>
          <w:rFonts w:ascii="Calibri" w:hAnsi="Calibri"/>
          <w:color w:val="000000"/>
          <w:sz w:val="22"/>
          <w:szCs w:val="24"/>
        </w:rPr>
      </w:pPr>
      <w:r w:rsidRPr="00726CEC">
        <w:rPr>
          <w:rFonts w:ascii="Calibri" w:hAnsi="Calibri"/>
          <w:color w:val="000000"/>
          <w:sz w:val="22"/>
          <w:szCs w:val="24"/>
        </w:rPr>
        <w:t>Jeżeli ilość urządzeń na stacji wymagających bezpośredniego podłączenia do przełącznika wyspecyfikowanego powyżej będzie większa niż ilość portów na przełączniku to wykonawca ma obowiązek dostarczyć dodatkowy przemysłowy przełącznik sieciowy tego samego producenta z odpowiednią ilością portów wymaganych dla podłączenia urządzeń o prędkościach nie gorszych niż 10/100/1000 wraz z dodatkowymi wkładkami SFP RGD wymaganymi do podłączenia urządzeń.</w:t>
      </w:r>
    </w:p>
    <w:p w14:paraId="754B7CE7" w14:textId="77777777" w:rsidR="00726CEC" w:rsidRPr="00726CEC" w:rsidRDefault="00726CEC" w:rsidP="00B628F4">
      <w:pPr>
        <w:widowControl w:val="0"/>
        <w:numPr>
          <w:ilvl w:val="0"/>
          <w:numId w:val="32"/>
        </w:numPr>
        <w:tabs>
          <w:tab w:val="decimal" w:pos="1008"/>
        </w:tabs>
        <w:autoSpaceDE w:val="0"/>
        <w:autoSpaceDN w:val="0"/>
        <w:adjustRightInd w:val="0"/>
        <w:spacing w:before="0" w:after="0"/>
        <w:ind w:right="72"/>
        <w:contextualSpacing/>
        <w:rPr>
          <w:rFonts w:ascii="Calibri" w:hAnsi="Calibri" w:cs="Calibri"/>
          <w:color w:val="000000"/>
          <w:spacing w:val="1"/>
          <w:sz w:val="22"/>
          <w:szCs w:val="22"/>
        </w:rPr>
      </w:pPr>
      <w:r w:rsidRPr="00726CEC">
        <w:rPr>
          <w:rFonts w:ascii="Calibri" w:hAnsi="Calibri" w:cs="Calibri"/>
          <w:color w:val="000000"/>
          <w:spacing w:val="1"/>
          <w:sz w:val="22"/>
          <w:szCs w:val="22"/>
        </w:rPr>
        <w:t>Przełącznik  musi posiadać podwójne w pełni redundantne pasywnie chłodzone zasilacze 220 VDC i 230 VAC. Wymiana uszkodzonego zasilacza nie może powodować konieczności wyłączenia urządzenia.</w:t>
      </w:r>
    </w:p>
    <w:p w14:paraId="6C03A64C" w14:textId="77777777" w:rsidR="00726CEC" w:rsidRPr="00726CEC" w:rsidRDefault="00726CEC" w:rsidP="00B628F4">
      <w:pPr>
        <w:widowControl w:val="0"/>
        <w:numPr>
          <w:ilvl w:val="0"/>
          <w:numId w:val="32"/>
        </w:numPr>
        <w:tabs>
          <w:tab w:val="decimal" w:pos="1008"/>
        </w:tabs>
        <w:autoSpaceDE w:val="0"/>
        <w:autoSpaceDN w:val="0"/>
        <w:adjustRightInd w:val="0"/>
        <w:spacing w:before="0" w:after="0"/>
        <w:ind w:right="72"/>
        <w:contextualSpacing/>
        <w:rPr>
          <w:rFonts w:ascii="Calibri" w:hAnsi="Calibri" w:cs="Calibri"/>
          <w:color w:val="000000"/>
          <w:spacing w:val="1"/>
          <w:sz w:val="22"/>
          <w:szCs w:val="22"/>
        </w:rPr>
      </w:pPr>
      <w:r w:rsidRPr="00726CEC">
        <w:rPr>
          <w:rFonts w:ascii="Calibri" w:hAnsi="Calibri" w:cs="Calibri"/>
          <w:color w:val="000000"/>
          <w:spacing w:val="1"/>
          <w:sz w:val="22"/>
          <w:szCs w:val="22"/>
        </w:rPr>
        <w:t xml:space="preserve">Dla przełącznika dedykowanego dla urządzeń SOT należy wyspecyfikować dwa zasilacze o odpowiedniej mocy aby uwzględnić budżet energetyczny dla zasilenia, o ile to możliwe, wszystkich kamer wymagających zasilania </w:t>
      </w:r>
      <w:proofErr w:type="spellStart"/>
      <w:r w:rsidRPr="00726CEC">
        <w:rPr>
          <w:rFonts w:ascii="Calibri" w:hAnsi="Calibri" w:cs="Calibri"/>
          <w:color w:val="000000"/>
          <w:spacing w:val="1"/>
          <w:sz w:val="22"/>
          <w:szCs w:val="22"/>
        </w:rPr>
        <w:t>PoE</w:t>
      </w:r>
      <w:proofErr w:type="spellEnd"/>
      <w:r w:rsidRPr="00726CEC">
        <w:rPr>
          <w:rFonts w:ascii="Calibri" w:hAnsi="Calibri" w:cs="Calibri"/>
          <w:color w:val="000000"/>
          <w:spacing w:val="1"/>
          <w:sz w:val="22"/>
          <w:szCs w:val="22"/>
        </w:rPr>
        <w:t xml:space="preserve"> bezpośrednio z projektowanego </w:t>
      </w:r>
      <w:proofErr w:type="spellStart"/>
      <w:r w:rsidRPr="00726CEC">
        <w:rPr>
          <w:rFonts w:ascii="Calibri" w:hAnsi="Calibri" w:cs="Calibri"/>
          <w:color w:val="000000"/>
          <w:spacing w:val="1"/>
          <w:sz w:val="22"/>
          <w:szCs w:val="22"/>
        </w:rPr>
        <w:t>switcha</w:t>
      </w:r>
      <w:proofErr w:type="spellEnd"/>
      <w:r w:rsidRPr="00726CEC">
        <w:rPr>
          <w:rFonts w:ascii="Calibri" w:hAnsi="Calibri" w:cs="Calibri"/>
          <w:color w:val="000000"/>
          <w:spacing w:val="1"/>
          <w:sz w:val="22"/>
          <w:szCs w:val="22"/>
        </w:rPr>
        <w:t>. Dopuszczone jest wykorzystanie dodatkowych listew zasilających.</w:t>
      </w:r>
    </w:p>
    <w:p w14:paraId="630F9F87" w14:textId="77777777" w:rsidR="00726CEC" w:rsidRPr="00726CEC" w:rsidRDefault="00726CEC" w:rsidP="00B628F4">
      <w:pPr>
        <w:widowControl w:val="0"/>
        <w:numPr>
          <w:ilvl w:val="0"/>
          <w:numId w:val="32"/>
        </w:numPr>
        <w:tabs>
          <w:tab w:val="decimal" w:pos="1008"/>
        </w:tabs>
        <w:autoSpaceDE w:val="0"/>
        <w:autoSpaceDN w:val="0"/>
        <w:adjustRightInd w:val="0"/>
        <w:spacing w:before="0" w:after="0"/>
        <w:ind w:right="72"/>
        <w:contextualSpacing/>
        <w:rPr>
          <w:rFonts w:ascii="Calibri" w:hAnsi="Calibri" w:cs="Calibri"/>
          <w:color w:val="000000"/>
          <w:spacing w:val="1"/>
          <w:sz w:val="22"/>
          <w:szCs w:val="22"/>
        </w:rPr>
      </w:pPr>
      <w:r w:rsidRPr="00726CEC">
        <w:rPr>
          <w:rFonts w:ascii="Calibri" w:hAnsi="Calibri" w:cs="Calibri"/>
          <w:color w:val="000000"/>
          <w:spacing w:val="1"/>
          <w:sz w:val="22"/>
          <w:szCs w:val="22"/>
        </w:rPr>
        <w:t>Przełącznik dla SOT musi być takiego samego producenta jak dostarczany przełącznik główny.</w:t>
      </w:r>
    </w:p>
    <w:p w14:paraId="6967E9DD" w14:textId="77777777" w:rsidR="00726CEC" w:rsidRPr="00726CEC" w:rsidRDefault="00726CEC" w:rsidP="00B628F4">
      <w:pPr>
        <w:widowControl w:val="0"/>
        <w:numPr>
          <w:ilvl w:val="0"/>
          <w:numId w:val="32"/>
        </w:numPr>
        <w:autoSpaceDE w:val="0"/>
        <w:autoSpaceDN w:val="0"/>
        <w:adjustRightInd w:val="0"/>
        <w:spacing w:before="0" w:after="0"/>
        <w:rPr>
          <w:rFonts w:ascii="Calibri" w:hAnsi="Calibri" w:cs="Calibri"/>
          <w:color w:val="000000"/>
          <w:sz w:val="22"/>
          <w:szCs w:val="22"/>
        </w:rPr>
      </w:pPr>
      <w:r w:rsidRPr="00726CEC">
        <w:rPr>
          <w:rFonts w:ascii="Calibri" w:hAnsi="Calibri" w:cs="Calibri"/>
          <w:color w:val="000000"/>
          <w:sz w:val="22"/>
          <w:szCs w:val="22"/>
        </w:rPr>
        <w:t>Urządzenie musi posiadać wzmocnioną obudowę odporną na wibracje, kurz i zwiększoną wilgotność.</w:t>
      </w:r>
    </w:p>
    <w:p w14:paraId="5283ABBC" w14:textId="77777777" w:rsidR="00726CEC" w:rsidRPr="00726CEC" w:rsidRDefault="00726CEC" w:rsidP="00B628F4">
      <w:pPr>
        <w:widowControl w:val="0"/>
        <w:numPr>
          <w:ilvl w:val="0"/>
          <w:numId w:val="32"/>
        </w:numPr>
        <w:tabs>
          <w:tab w:val="decimal" w:pos="1008"/>
        </w:tabs>
        <w:autoSpaceDE w:val="0"/>
        <w:autoSpaceDN w:val="0"/>
        <w:adjustRightInd w:val="0"/>
        <w:spacing w:before="0" w:after="0"/>
        <w:ind w:right="72"/>
        <w:contextualSpacing/>
        <w:rPr>
          <w:rFonts w:ascii="Calibri" w:hAnsi="Calibri"/>
          <w:color w:val="000000"/>
          <w:sz w:val="22"/>
          <w:szCs w:val="22"/>
        </w:rPr>
      </w:pPr>
      <w:r w:rsidRPr="00726CEC">
        <w:rPr>
          <w:rFonts w:ascii="Calibri" w:hAnsi="Calibri"/>
          <w:color w:val="000000"/>
          <w:sz w:val="22"/>
          <w:szCs w:val="22"/>
        </w:rPr>
        <w:t>Przełącznik musi obsługiwać następujące protokoły routingu BGP, IS-IS, FULL OSPF</w:t>
      </w:r>
    </w:p>
    <w:p w14:paraId="20602D15" w14:textId="77777777" w:rsidR="00726CEC" w:rsidRPr="00726CEC" w:rsidRDefault="00726CEC" w:rsidP="00B628F4">
      <w:pPr>
        <w:widowControl w:val="0"/>
        <w:numPr>
          <w:ilvl w:val="0"/>
          <w:numId w:val="32"/>
        </w:numPr>
        <w:tabs>
          <w:tab w:val="decimal" w:pos="792"/>
        </w:tabs>
        <w:autoSpaceDE w:val="0"/>
        <w:autoSpaceDN w:val="0"/>
        <w:adjustRightInd w:val="0"/>
        <w:spacing w:before="0" w:after="0"/>
        <w:contextualSpacing/>
        <w:rPr>
          <w:rFonts w:ascii="Calibri" w:hAnsi="Calibri"/>
          <w:color w:val="000000"/>
          <w:spacing w:val="11"/>
          <w:sz w:val="22"/>
          <w:szCs w:val="24"/>
        </w:rPr>
      </w:pPr>
      <w:r w:rsidRPr="00726CEC">
        <w:rPr>
          <w:rFonts w:ascii="Calibri" w:hAnsi="Calibri"/>
          <w:color w:val="000000"/>
          <w:sz w:val="22"/>
          <w:szCs w:val="24"/>
        </w:rPr>
        <w:t>Przełącznik musi obsługiwać zaawansowane przełączanie w warstwie trzeciej i definiowanie protokołu routingu EIGRP (</w:t>
      </w:r>
      <w:proofErr w:type="spellStart"/>
      <w:r w:rsidRPr="00726CEC">
        <w:rPr>
          <w:rFonts w:ascii="Calibri" w:hAnsi="Calibri"/>
          <w:color w:val="000000"/>
          <w:sz w:val="22"/>
          <w:szCs w:val="24"/>
        </w:rPr>
        <w:t>Enhanced</w:t>
      </w:r>
      <w:proofErr w:type="spellEnd"/>
      <w:r w:rsidRPr="00726CEC">
        <w:rPr>
          <w:rFonts w:ascii="Calibri" w:hAnsi="Calibri"/>
          <w:color w:val="000000"/>
          <w:sz w:val="22"/>
          <w:szCs w:val="24"/>
        </w:rPr>
        <w:t xml:space="preserve"> Interior Gateway Routing </w:t>
      </w:r>
      <w:proofErr w:type="spellStart"/>
      <w:r w:rsidRPr="00726CEC">
        <w:rPr>
          <w:rFonts w:ascii="Calibri" w:hAnsi="Calibri"/>
          <w:color w:val="000000"/>
          <w:sz w:val="22"/>
          <w:szCs w:val="24"/>
        </w:rPr>
        <w:t>Protocol</w:t>
      </w:r>
      <w:proofErr w:type="spellEnd"/>
      <w:r w:rsidRPr="00726CEC">
        <w:rPr>
          <w:rFonts w:ascii="Calibri" w:hAnsi="Calibri"/>
          <w:color w:val="000000"/>
          <w:sz w:val="22"/>
          <w:szCs w:val="24"/>
        </w:rPr>
        <w:t>)(pełna wersja) - funkcjonalność dostępna na urządzeniu w chwili dostawy. Wymóg jest związany z topologią i architekturą sieci posiadaną przez Zamawiającego.</w:t>
      </w:r>
    </w:p>
    <w:p w14:paraId="24AE33AE" w14:textId="77777777" w:rsidR="00726CEC" w:rsidRPr="00726CEC" w:rsidRDefault="00726CEC" w:rsidP="00B628F4">
      <w:pPr>
        <w:widowControl w:val="0"/>
        <w:numPr>
          <w:ilvl w:val="0"/>
          <w:numId w:val="32"/>
        </w:numPr>
        <w:tabs>
          <w:tab w:val="decimal" w:pos="792"/>
        </w:tabs>
        <w:autoSpaceDE w:val="0"/>
        <w:autoSpaceDN w:val="0"/>
        <w:adjustRightInd w:val="0"/>
        <w:spacing w:before="0" w:after="0"/>
        <w:contextualSpacing/>
        <w:rPr>
          <w:rFonts w:ascii="Calibri" w:hAnsi="Calibri"/>
          <w:color w:val="000000"/>
          <w:sz w:val="22"/>
          <w:szCs w:val="24"/>
        </w:rPr>
      </w:pPr>
      <w:r w:rsidRPr="00726CEC">
        <w:rPr>
          <w:rFonts w:ascii="Calibri" w:hAnsi="Calibri"/>
          <w:color w:val="000000"/>
          <w:sz w:val="22"/>
          <w:szCs w:val="24"/>
        </w:rPr>
        <w:t>Dodatkowo przełącznik musi obsługiwać następującą funkcję przełączania taką jak HSRP lub VRRP</w:t>
      </w:r>
    </w:p>
    <w:p w14:paraId="4A0164C4" w14:textId="77777777" w:rsidR="00726CEC" w:rsidRPr="00726CEC" w:rsidRDefault="00726CEC" w:rsidP="00B628F4">
      <w:pPr>
        <w:widowControl w:val="0"/>
        <w:numPr>
          <w:ilvl w:val="0"/>
          <w:numId w:val="32"/>
        </w:numPr>
        <w:autoSpaceDE w:val="0"/>
        <w:autoSpaceDN w:val="0"/>
        <w:adjustRightInd w:val="0"/>
        <w:spacing w:before="0" w:after="0"/>
        <w:rPr>
          <w:rFonts w:ascii="Calibri" w:hAnsi="Calibri" w:cs="Calibri"/>
          <w:color w:val="000000"/>
          <w:sz w:val="22"/>
          <w:szCs w:val="22"/>
        </w:rPr>
      </w:pPr>
      <w:r w:rsidRPr="00726CEC">
        <w:rPr>
          <w:rFonts w:ascii="Calibri" w:hAnsi="Calibri" w:cs="Calibri"/>
          <w:color w:val="000000"/>
          <w:sz w:val="22"/>
          <w:szCs w:val="22"/>
        </w:rPr>
        <w:t>Preferowana wysokość jednego urządzenia to 1U</w:t>
      </w:r>
    </w:p>
    <w:p w14:paraId="328382C7" w14:textId="77777777" w:rsidR="00726CEC" w:rsidRPr="00726CEC" w:rsidRDefault="00726CEC" w:rsidP="00B628F4">
      <w:pPr>
        <w:widowControl w:val="0"/>
        <w:numPr>
          <w:ilvl w:val="0"/>
          <w:numId w:val="32"/>
        </w:numPr>
        <w:autoSpaceDE w:val="0"/>
        <w:autoSpaceDN w:val="0"/>
        <w:adjustRightInd w:val="0"/>
        <w:spacing w:before="0" w:after="0"/>
        <w:rPr>
          <w:rFonts w:ascii="Calibri" w:hAnsi="Calibri" w:cs="Calibri"/>
          <w:color w:val="000000"/>
          <w:sz w:val="22"/>
          <w:szCs w:val="22"/>
        </w:rPr>
      </w:pPr>
      <w:r w:rsidRPr="00726CEC">
        <w:rPr>
          <w:rFonts w:ascii="Calibri" w:hAnsi="Calibri" w:cs="Calibri"/>
          <w:color w:val="000000"/>
          <w:sz w:val="22"/>
          <w:szCs w:val="22"/>
        </w:rPr>
        <w:t>Przełącznik musi obsługiwać mechanizmy związane z zapewnieniem bezpieczeństwa sieci:</w:t>
      </w:r>
    </w:p>
    <w:p w14:paraId="7A3CE262"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dostęp do urządzenia przez konsolę, SSHv2 i SNMPv3 lub HTTPS/SSL,</w:t>
      </w:r>
    </w:p>
    <w:p w14:paraId="0CC5BE7E" w14:textId="77777777" w:rsidR="00726CEC" w:rsidRPr="00305A91"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val="en-GB" w:eastAsia="en-US"/>
        </w:rPr>
      </w:pPr>
      <w:proofErr w:type="spellStart"/>
      <w:r w:rsidRPr="00305A91">
        <w:rPr>
          <w:rFonts w:ascii="Calibri" w:hAnsi="Calibri" w:cs="Calibri"/>
          <w:sz w:val="22"/>
          <w:szCs w:val="22"/>
          <w:lang w:val="en-GB" w:eastAsia="en-US"/>
        </w:rPr>
        <w:t>wsparcie</w:t>
      </w:r>
      <w:proofErr w:type="spellEnd"/>
      <w:r w:rsidRPr="00305A91">
        <w:rPr>
          <w:rFonts w:ascii="Calibri" w:hAnsi="Calibri" w:cs="Calibri"/>
          <w:sz w:val="22"/>
          <w:szCs w:val="22"/>
          <w:lang w:val="en-GB" w:eastAsia="en-US"/>
        </w:rPr>
        <w:t xml:space="preserve"> </w:t>
      </w:r>
      <w:proofErr w:type="spellStart"/>
      <w:r w:rsidRPr="00305A91">
        <w:rPr>
          <w:rFonts w:ascii="Calibri" w:hAnsi="Calibri" w:cs="Calibri"/>
          <w:sz w:val="22"/>
          <w:szCs w:val="22"/>
          <w:lang w:val="en-GB" w:eastAsia="en-US"/>
        </w:rPr>
        <w:t>dla</w:t>
      </w:r>
      <w:proofErr w:type="spellEnd"/>
      <w:r w:rsidRPr="00305A91">
        <w:rPr>
          <w:rFonts w:ascii="Calibri" w:hAnsi="Calibri" w:cs="Calibri"/>
          <w:sz w:val="22"/>
          <w:szCs w:val="22"/>
          <w:lang w:val="en-GB" w:eastAsia="en-US"/>
        </w:rPr>
        <w:t xml:space="preserve"> </w:t>
      </w:r>
      <w:proofErr w:type="spellStart"/>
      <w:r w:rsidRPr="00305A91">
        <w:rPr>
          <w:rFonts w:ascii="Calibri" w:hAnsi="Calibri" w:cs="Calibri"/>
          <w:sz w:val="22"/>
          <w:szCs w:val="22"/>
          <w:lang w:val="en-GB" w:eastAsia="en-US"/>
        </w:rPr>
        <w:t>standardu</w:t>
      </w:r>
      <w:proofErr w:type="spellEnd"/>
      <w:r w:rsidRPr="00305A91">
        <w:rPr>
          <w:rFonts w:ascii="Calibri" w:hAnsi="Calibri" w:cs="Calibri"/>
          <w:sz w:val="22"/>
          <w:szCs w:val="22"/>
          <w:lang w:val="en-GB" w:eastAsia="en-US"/>
        </w:rPr>
        <w:t xml:space="preserve"> 802_1x port-based, multiple-client, MAC authentication,</w:t>
      </w:r>
    </w:p>
    <w:p w14:paraId="1929A90A"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możliwość aplikowania list kontroli dostępu (ACL) per port</w:t>
      </w:r>
    </w:p>
    <w:p w14:paraId="6E46A020"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t xml:space="preserve">funkcjonalność typu STP Root </w:t>
      </w:r>
      <w:proofErr w:type="spellStart"/>
      <w:r w:rsidRPr="00726CEC">
        <w:rPr>
          <w:rFonts w:ascii="Calibri" w:hAnsi="Calibri" w:cs="Calibri"/>
          <w:sz w:val="22"/>
          <w:szCs w:val="22"/>
          <w:lang w:eastAsia="en-US"/>
        </w:rPr>
        <w:t>Guard</w:t>
      </w:r>
      <w:proofErr w:type="spellEnd"/>
      <w:r w:rsidRPr="00726CEC">
        <w:rPr>
          <w:rFonts w:ascii="Calibri" w:hAnsi="Calibri" w:cs="Calibri"/>
          <w:sz w:val="22"/>
          <w:szCs w:val="22"/>
          <w:lang w:eastAsia="en-US"/>
        </w:rPr>
        <w:t xml:space="preserve">, STP BPDU </w:t>
      </w:r>
      <w:proofErr w:type="spellStart"/>
      <w:r w:rsidRPr="00726CEC">
        <w:rPr>
          <w:rFonts w:ascii="Calibri" w:hAnsi="Calibri" w:cs="Calibri"/>
          <w:sz w:val="22"/>
          <w:szCs w:val="22"/>
          <w:lang w:eastAsia="en-US"/>
        </w:rPr>
        <w:t>guard</w:t>
      </w:r>
      <w:proofErr w:type="spellEnd"/>
      <w:r w:rsidRPr="00726CEC">
        <w:rPr>
          <w:rFonts w:ascii="Calibri" w:hAnsi="Calibri" w:cs="Calibri"/>
          <w:sz w:val="22"/>
          <w:szCs w:val="22"/>
          <w:lang w:eastAsia="en-US"/>
        </w:rPr>
        <w:t xml:space="preserve"> lub równoważna,</w:t>
      </w:r>
    </w:p>
    <w:p w14:paraId="2679CE02" w14:textId="77777777" w:rsidR="00726CEC" w:rsidRPr="00726CEC" w:rsidRDefault="00726CEC" w:rsidP="00B628F4">
      <w:pPr>
        <w:widowControl w:val="0"/>
        <w:numPr>
          <w:ilvl w:val="0"/>
          <w:numId w:val="36"/>
        </w:numPr>
        <w:autoSpaceDE w:val="0"/>
        <w:autoSpaceDN w:val="0"/>
        <w:adjustRightInd w:val="0"/>
        <w:spacing w:before="0" w:after="0"/>
        <w:ind w:left="851"/>
        <w:rPr>
          <w:rFonts w:ascii="Calibri" w:hAnsi="Calibri" w:cs="Calibri"/>
          <w:sz w:val="22"/>
          <w:szCs w:val="22"/>
          <w:lang w:eastAsia="en-US"/>
        </w:rPr>
      </w:pPr>
      <w:r w:rsidRPr="00726CEC">
        <w:rPr>
          <w:rFonts w:ascii="Calibri" w:hAnsi="Calibri" w:cs="Calibri"/>
          <w:sz w:val="22"/>
          <w:szCs w:val="22"/>
          <w:lang w:eastAsia="en-US"/>
        </w:rPr>
        <w:lastRenderedPageBreak/>
        <w:t>możliwość autoryzacji za pomocą serwerów RADIUS i TACACS+.</w:t>
      </w:r>
    </w:p>
    <w:p w14:paraId="29E0E93C" w14:textId="77777777" w:rsidR="00726CEC" w:rsidRPr="00726CEC" w:rsidRDefault="00726CEC" w:rsidP="00B628F4">
      <w:pPr>
        <w:widowControl w:val="0"/>
        <w:numPr>
          <w:ilvl w:val="0"/>
          <w:numId w:val="32"/>
        </w:numPr>
        <w:autoSpaceDE w:val="0"/>
        <w:autoSpaceDN w:val="0"/>
        <w:adjustRightInd w:val="0"/>
        <w:spacing w:before="0" w:after="0"/>
        <w:rPr>
          <w:rFonts w:ascii="Calibri" w:hAnsi="Calibri" w:cs="Calibri"/>
          <w:color w:val="000000"/>
          <w:sz w:val="22"/>
          <w:szCs w:val="22"/>
        </w:rPr>
      </w:pPr>
      <w:r w:rsidRPr="00726CEC">
        <w:rPr>
          <w:rFonts w:ascii="Calibri" w:hAnsi="Calibri" w:cs="Calibri"/>
          <w:color w:val="000000"/>
          <w:sz w:val="22"/>
          <w:szCs w:val="22"/>
        </w:rPr>
        <w:t>Należy zamontować wkładki SFP na potrzeby komunikacji w sieci WAN zamawiającego (wkładki RGD mają spełniać wymogi temperaturowe typu IND(</w:t>
      </w:r>
      <w:proofErr w:type="spellStart"/>
      <w:r w:rsidRPr="00726CEC">
        <w:rPr>
          <w:rFonts w:ascii="Calibri" w:hAnsi="Calibri" w:cs="Calibri"/>
          <w:color w:val="000000"/>
          <w:sz w:val="22"/>
          <w:szCs w:val="22"/>
        </w:rPr>
        <w:t>industrial</w:t>
      </w:r>
      <w:proofErr w:type="spellEnd"/>
      <w:r w:rsidRPr="00726CEC">
        <w:rPr>
          <w:rFonts w:ascii="Calibri" w:hAnsi="Calibri" w:cs="Calibri"/>
          <w:color w:val="000000"/>
          <w:sz w:val="22"/>
          <w:szCs w:val="22"/>
        </w:rPr>
        <w:t xml:space="preserve">)). Akceptujemy wkładki </w:t>
      </w:r>
      <w:proofErr w:type="spellStart"/>
      <w:r w:rsidRPr="00726CEC">
        <w:rPr>
          <w:rFonts w:ascii="Calibri" w:hAnsi="Calibri" w:cs="Calibri"/>
          <w:color w:val="000000"/>
          <w:sz w:val="22"/>
          <w:szCs w:val="22"/>
        </w:rPr>
        <w:t>typu:SX,LX,EX,ZX</w:t>
      </w:r>
      <w:proofErr w:type="spellEnd"/>
      <w:r w:rsidRPr="00726CEC">
        <w:rPr>
          <w:rFonts w:ascii="Calibri" w:hAnsi="Calibri" w:cs="Calibri"/>
          <w:color w:val="000000"/>
          <w:sz w:val="22"/>
          <w:szCs w:val="22"/>
        </w:rPr>
        <w:t xml:space="preserve"> – wkładki należy dobrać w zależności od typu światłowodu oraz długości zestawianego traktu światłowodowego </w:t>
      </w:r>
    </w:p>
    <w:p w14:paraId="346079B7"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W przypadku konieczności przyłączania urządzeń, które będą wymagały dodatkowych wkładek Wykonawca zobowiązany jest do ich dostarczenia. </w:t>
      </w:r>
    </w:p>
    <w:p w14:paraId="742A2FED"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Wszystkie dostarczone karty i moduły muszą być zakupione w oficjalnym kanale dystrybucyjnym producenta z możliwością objęcia wsparciem serwisowym w kolejnych latach. </w:t>
      </w:r>
    </w:p>
    <w:p w14:paraId="117D9E1F"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Wszystkie nadajniki i dostarczone moduły muszą mieć możliwość wykupienia wsparcia serwisowego producenta urządzenia, w którym będą pracować. </w:t>
      </w:r>
    </w:p>
    <w:p w14:paraId="1B27CB07"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Urządzenia, które będą dostarczane nie mogą mieć ogłoszonego przez producenta statusu „end of life”</w:t>
      </w:r>
    </w:p>
    <w:p w14:paraId="60A4951F"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Terminowanie wszystkich urządzeń, dla których wymagane jest połączenie w standardzie Ethernet oraz komunikacja poprzez sieć IP musi być przyłączona bezpośrednio do tego przełącznika. </w:t>
      </w:r>
    </w:p>
    <w:p w14:paraId="24F9AE57"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W przypadku projektowania połączeń dodatkowych przełączników, w ramach komunikacji do przełącznika wskazanego w wymaganiach i systemów Zamawiającego Wykonawca ma obowiązek dostarczyć przełącznik przemysłowy tego samego producenta, uzgadniając model i topologię połączeń. </w:t>
      </w:r>
    </w:p>
    <w:p w14:paraId="19A1FE8C"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Należy zamontować światłowodowe i miedziane kable krosowe dla instalacji połączeń i przełączników. </w:t>
      </w:r>
    </w:p>
    <w:p w14:paraId="76AF0A83"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Dostępność części zamiennych i wsparcia technicznego dla dostarczonych urządzeń to minimum pięć lat po ogłoszeniu zakończenia produkcji. </w:t>
      </w:r>
    </w:p>
    <w:p w14:paraId="343332A2"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Na etapie projektowania należy przedstawić do akceptacji dokument projektowy, uwzględniający przyłączenie wszystkich urządzeń sieciowych i uzgodnić go z Zamawiającym. </w:t>
      </w:r>
    </w:p>
    <w:p w14:paraId="2B2A522F"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 xml:space="preserve">Szczegółowe informacje w zakresie wdrożenia zostaną przekazane na etapie realizacji. </w:t>
      </w:r>
    </w:p>
    <w:p w14:paraId="119FAD0B"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hAnsi="Calibri" w:cs="Calibri"/>
          <w:color w:val="000000"/>
          <w:sz w:val="22"/>
          <w:szCs w:val="22"/>
        </w:rPr>
      </w:pPr>
      <w:r w:rsidRPr="00726CEC">
        <w:rPr>
          <w:rFonts w:ascii="Calibri" w:hAnsi="Calibri" w:cs="Calibri"/>
          <w:color w:val="000000"/>
          <w:sz w:val="22"/>
          <w:szCs w:val="22"/>
        </w:rPr>
        <w:t>Zakłada się, że prace wdrożeniowe  będą wykonywane w dni robocze, w godzinach 7.00 - 14.00, przy czym w szczególnych przepadku Zamawiający może zlecić wykonanie prac w innych godzinach, jak również w sobotę.</w:t>
      </w:r>
    </w:p>
    <w:p w14:paraId="35BE3BEA" w14:textId="77777777" w:rsidR="00726CEC" w:rsidRPr="00726CEC" w:rsidRDefault="00726CEC" w:rsidP="00B628F4">
      <w:pPr>
        <w:widowControl w:val="0"/>
        <w:numPr>
          <w:ilvl w:val="0"/>
          <w:numId w:val="32"/>
        </w:numPr>
        <w:autoSpaceDE w:val="0"/>
        <w:autoSpaceDN w:val="0"/>
        <w:adjustRightInd w:val="0"/>
        <w:spacing w:before="0" w:after="0"/>
        <w:contextualSpacing/>
        <w:rPr>
          <w:rFonts w:ascii="Calibri" w:eastAsia="Calibri" w:hAnsi="Calibri" w:cs="Calibri"/>
          <w:color w:val="000000"/>
          <w:sz w:val="22"/>
          <w:szCs w:val="22"/>
        </w:rPr>
      </w:pPr>
      <w:r w:rsidRPr="00726CEC">
        <w:rPr>
          <w:rFonts w:ascii="Calibri" w:eastAsia="Calibri" w:hAnsi="Calibri" w:cs="Calibri"/>
          <w:color w:val="000000"/>
          <w:sz w:val="22"/>
          <w:szCs w:val="22"/>
        </w:rPr>
        <w:t xml:space="preserve">Usługa gwarancyjna dla </w:t>
      </w:r>
      <w:r w:rsidRPr="00726CEC">
        <w:rPr>
          <w:rFonts w:ascii="Calibri" w:hAnsi="Calibri" w:cs="Calibri"/>
          <w:color w:val="000000"/>
          <w:sz w:val="22"/>
          <w:szCs w:val="22"/>
        </w:rPr>
        <w:t>przemysłowego przełącznika sieciowego</w:t>
      </w:r>
      <w:r w:rsidRPr="00726CEC">
        <w:rPr>
          <w:rFonts w:ascii="Calibri" w:eastAsia="Calibri" w:hAnsi="Calibri" w:cs="Calibri"/>
          <w:color w:val="000000"/>
          <w:sz w:val="22"/>
          <w:szCs w:val="22"/>
        </w:rPr>
        <w:t>:</w:t>
      </w:r>
    </w:p>
    <w:p w14:paraId="5E0D4D55" w14:textId="77777777" w:rsidR="00726CEC" w:rsidRPr="00726CEC" w:rsidRDefault="00726CEC" w:rsidP="00B628F4">
      <w:pPr>
        <w:widowControl w:val="0"/>
        <w:numPr>
          <w:ilvl w:val="0"/>
          <w:numId w:val="33"/>
        </w:numPr>
        <w:autoSpaceDE w:val="0"/>
        <w:autoSpaceDN w:val="0"/>
        <w:adjustRightInd w:val="0"/>
        <w:spacing w:before="0" w:after="0"/>
        <w:ind w:left="993" w:hanging="284"/>
        <w:contextualSpacing/>
        <w:rPr>
          <w:rFonts w:ascii="Calibri" w:hAnsi="Calibri" w:cs="Calibri"/>
          <w:color w:val="000000"/>
          <w:sz w:val="22"/>
          <w:szCs w:val="22"/>
        </w:rPr>
      </w:pPr>
      <w:r w:rsidRPr="00726CEC">
        <w:rPr>
          <w:rFonts w:ascii="Calibri" w:hAnsi="Calibri" w:cs="Calibri"/>
          <w:color w:val="000000"/>
          <w:sz w:val="22"/>
          <w:szCs w:val="22"/>
        </w:rPr>
        <w:t>Oferowane urządzenia objęte zostaną 60 miesięcznym serwisem gwarancyjnym Partnera lub Producenta on-</w:t>
      </w:r>
      <w:proofErr w:type="spellStart"/>
      <w:r w:rsidRPr="00726CEC">
        <w:rPr>
          <w:rFonts w:ascii="Calibri" w:hAnsi="Calibri" w:cs="Calibri"/>
          <w:color w:val="000000"/>
          <w:sz w:val="22"/>
          <w:szCs w:val="22"/>
        </w:rPr>
        <w:t>site</w:t>
      </w:r>
      <w:proofErr w:type="spellEnd"/>
      <w:r w:rsidRPr="00726CEC">
        <w:rPr>
          <w:rFonts w:ascii="Calibri" w:hAnsi="Calibri" w:cs="Calibri"/>
          <w:color w:val="000000"/>
          <w:sz w:val="22"/>
          <w:szCs w:val="22"/>
        </w:rPr>
        <w:t xml:space="preserve"> (w miejscu instalacji urządzenia) w trybie 8x5xNBD </w:t>
      </w:r>
    </w:p>
    <w:p w14:paraId="3F5CA11A" w14:textId="77777777" w:rsidR="00726CEC" w:rsidRPr="00726CEC" w:rsidRDefault="00726CEC" w:rsidP="00B628F4">
      <w:pPr>
        <w:widowControl w:val="0"/>
        <w:numPr>
          <w:ilvl w:val="0"/>
          <w:numId w:val="33"/>
        </w:numPr>
        <w:autoSpaceDE w:val="0"/>
        <w:autoSpaceDN w:val="0"/>
        <w:adjustRightInd w:val="0"/>
        <w:spacing w:before="0" w:after="0"/>
        <w:ind w:left="993" w:hanging="284"/>
        <w:contextualSpacing/>
        <w:rPr>
          <w:rFonts w:ascii="Calibri" w:hAnsi="Calibri" w:cs="Calibri"/>
          <w:color w:val="000000"/>
          <w:sz w:val="22"/>
          <w:szCs w:val="22"/>
        </w:rPr>
      </w:pPr>
      <w:r w:rsidRPr="00726CEC">
        <w:rPr>
          <w:rFonts w:ascii="Calibri" w:hAnsi="Calibri" w:cs="Calibri"/>
          <w:color w:val="000000"/>
          <w:sz w:val="22"/>
          <w:szCs w:val="22"/>
        </w:rPr>
        <w:t>Wykonawca ma obowiązek dostarczyć dokument potwierdzający wykupione wsparcie producenta/partnera dla dostarczonych urządzeń oraz dopisać wskazane przez Zamawiającego konto do bezpośredniej obsługi wykupionego kontraktu serwisowego.</w:t>
      </w:r>
    </w:p>
    <w:p w14:paraId="5F9D3983" w14:textId="77777777" w:rsidR="00726CEC" w:rsidRPr="00726CEC" w:rsidRDefault="00726CEC" w:rsidP="00B628F4">
      <w:pPr>
        <w:widowControl w:val="0"/>
        <w:numPr>
          <w:ilvl w:val="0"/>
          <w:numId w:val="33"/>
        </w:numPr>
        <w:autoSpaceDE w:val="0"/>
        <w:autoSpaceDN w:val="0"/>
        <w:adjustRightInd w:val="0"/>
        <w:spacing w:before="0" w:after="0"/>
        <w:ind w:left="993" w:hanging="284"/>
        <w:contextualSpacing/>
        <w:rPr>
          <w:rFonts w:ascii="Calibri" w:hAnsi="Calibri" w:cs="Calibri"/>
          <w:color w:val="000000"/>
          <w:sz w:val="22"/>
          <w:szCs w:val="22"/>
        </w:rPr>
      </w:pPr>
      <w:r w:rsidRPr="00726CEC">
        <w:rPr>
          <w:rFonts w:ascii="Calibri" w:hAnsi="Calibri" w:cs="Calibri"/>
          <w:color w:val="000000"/>
          <w:sz w:val="22"/>
          <w:szCs w:val="22"/>
        </w:rPr>
        <w:t>Usługę Serwis gwarancyjnego mogą świadczyć Wykonawcy będący autoryzowanymi partnerami serwisowymi producenta sprzętu lub bezpośrednio producent.</w:t>
      </w:r>
    </w:p>
    <w:p w14:paraId="2DB432FA" w14:textId="77777777" w:rsidR="00726CEC" w:rsidRPr="00726CEC" w:rsidRDefault="00726CEC" w:rsidP="006755EA">
      <w:pPr>
        <w:widowControl w:val="0"/>
        <w:autoSpaceDE w:val="0"/>
        <w:autoSpaceDN w:val="0"/>
        <w:adjustRightInd w:val="0"/>
        <w:spacing w:before="0" w:after="0"/>
        <w:ind w:left="0" w:firstLine="0"/>
        <w:rPr>
          <w:rFonts w:ascii="Calibri" w:hAnsi="Calibri" w:cs="Calibri"/>
          <w:color w:val="000000"/>
          <w:sz w:val="22"/>
          <w:szCs w:val="22"/>
        </w:rPr>
      </w:pPr>
      <w:r w:rsidRPr="00726CEC">
        <w:rPr>
          <w:rFonts w:ascii="Calibri" w:hAnsi="Calibri" w:cs="Calibri"/>
          <w:color w:val="000000"/>
          <w:sz w:val="22"/>
          <w:szCs w:val="22"/>
        </w:rPr>
        <w:t>Wykonawca zobowiązany jest do aktualizacji oprogramowania urządzenia do najnowszej dostępnej wersji oprogramowania, rekomendowanej przez producenta w ramach tej samej funkcjonalności oprogramowania.</w:t>
      </w:r>
    </w:p>
    <w:p w14:paraId="7514793C" w14:textId="77777777" w:rsidR="00726CEC" w:rsidRPr="00726CEC" w:rsidRDefault="00726CEC" w:rsidP="006755EA">
      <w:pPr>
        <w:widowControl w:val="0"/>
        <w:autoSpaceDE w:val="0"/>
        <w:autoSpaceDN w:val="0"/>
        <w:adjustRightInd w:val="0"/>
        <w:spacing w:before="0" w:after="0" w:line="276" w:lineRule="auto"/>
        <w:ind w:left="0" w:firstLine="0"/>
        <w:rPr>
          <w:rFonts w:ascii="Calibri" w:hAnsi="Calibri"/>
          <w:sz w:val="22"/>
          <w:szCs w:val="22"/>
        </w:rPr>
      </w:pPr>
    </w:p>
    <w:p w14:paraId="2D7BD986" w14:textId="77777777" w:rsidR="00726CEC" w:rsidRPr="00726CEC" w:rsidRDefault="00726CEC" w:rsidP="006755EA">
      <w:pPr>
        <w:widowControl w:val="0"/>
        <w:tabs>
          <w:tab w:val="left" w:pos="709"/>
        </w:tabs>
        <w:autoSpaceDE w:val="0"/>
        <w:autoSpaceDN w:val="0"/>
        <w:adjustRightInd w:val="0"/>
        <w:spacing w:before="0" w:after="0" w:line="276" w:lineRule="auto"/>
        <w:ind w:left="0" w:firstLine="0"/>
        <w:rPr>
          <w:rFonts w:ascii="Calibri" w:hAnsi="Calibri"/>
          <w:b/>
          <w:sz w:val="22"/>
          <w:szCs w:val="22"/>
        </w:rPr>
      </w:pPr>
      <w:bookmarkStart w:id="129" w:name="_Toc198028129"/>
      <w:r w:rsidRPr="00726CEC">
        <w:rPr>
          <w:rFonts w:ascii="Calibri" w:hAnsi="Calibri"/>
          <w:sz w:val="22"/>
          <w:szCs w:val="22"/>
        </w:rPr>
        <w:t>Zestawić łącza do ościennych stacji: Sochaczew, Teresin, Bielnik, Żyrardów i Grodzisk. Urządzenia w tych stacjach doposażyć w odpowiednie wkładki SFP</w:t>
      </w:r>
      <w:bookmarkEnd w:id="129"/>
      <w:r w:rsidRPr="00726CEC">
        <w:rPr>
          <w:rFonts w:ascii="Calibri" w:hAnsi="Calibri"/>
          <w:sz w:val="22"/>
          <w:szCs w:val="22"/>
        </w:rPr>
        <w:t>.</w:t>
      </w:r>
    </w:p>
    <w:p w14:paraId="1DBB6D1C" w14:textId="77777777" w:rsidR="00726CEC" w:rsidRPr="00726CEC" w:rsidRDefault="00726CEC" w:rsidP="00726CEC">
      <w:pPr>
        <w:pStyle w:val="Nagwek2"/>
      </w:pPr>
      <w:bookmarkStart w:id="130" w:name="_Toc198028130"/>
      <w:bookmarkStart w:id="131" w:name="_Toc216678524"/>
      <w:r w:rsidRPr="00726CEC">
        <w:t>Pomiar energii elektrycznej</w:t>
      </w:r>
      <w:bookmarkEnd w:id="130"/>
      <w:bookmarkEnd w:id="131"/>
    </w:p>
    <w:p w14:paraId="71947D80" w14:textId="77777777" w:rsidR="00726CEC" w:rsidRPr="00693033" w:rsidRDefault="00726CEC" w:rsidP="00693033">
      <w:pPr>
        <w:widowControl w:val="0"/>
        <w:tabs>
          <w:tab w:val="left" w:pos="709"/>
        </w:tabs>
        <w:autoSpaceDE w:val="0"/>
        <w:autoSpaceDN w:val="0"/>
        <w:adjustRightInd w:val="0"/>
        <w:spacing w:before="0" w:after="0" w:line="276" w:lineRule="auto"/>
        <w:ind w:left="0" w:firstLine="0"/>
        <w:rPr>
          <w:rFonts w:ascii="Calibri" w:hAnsi="Calibri"/>
          <w:sz w:val="22"/>
          <w:szCs w:val="22"/>
        </w:rPr>
      </w:pPr>
      <w:r w:rsidRPr="00693033">
        <w:rPr>
          <w:rFonts w:ascii="Calibri" w:hAnsi="Calibri"/>
          <w:sz w:val="22"/>
          <w:szCs w:val="22"/>
        </w:rPr>
        <w:t>Pomiary energii elektrycznej należy zainstalować w następujących miejscach:</w:t>
      </w:r>
    </w:p>
    <w:p w14:paraId="689F86C4" w14:textId="77777777" w:rsidR="00726CEC" w:rsidRPr="00693033" w:rsidRDefault="00726CEC" w:rsidP="00693033">
      <w:pPr>
        <w:widowControl w:val="0"/>
        <w:tabs>
          <w:tab w:val="left" w:pos="709"/>
        </w:tabs>
        <w:autoSpaceDE w:val="0"/>
        <w:autoSpaceDN w:val="0"/>
        <w:adjustRightInd w:val="0"/>
        <w:spacing w:before="0" w:after="0" w:line="276" w:lineRule="auto"/>
        <w:ind w:left="0" w:firstLine="0"/>
        <w:rPr>
          <w:rFonts w:ascii="Calibri" w:hAnsi="Calibri"/>
          <w:sz w:val="22"/>
          <w:szCs w:val="22"/>
        </w:rPr>
      </w:pPr>
      <w:r w:rsidRPr="00693033">
        <w:rPr>
          <w:rFonts w:ascii="Calibri" w:hAnsi="Calibri"/>
          <w:sz w:val="22"/>
          <w:szCs w:val="22"/>
        </w:rPr>
        <w:t xml:space="preserve">- Pola liniowe 110 </w:t>
      </w:r>
      <w:proofErr w:type="spellStart"/>
      <w:r w:rsidRPr="00693033">
        <w:rPr>
          <w:rFonts w:ascii="Calibri" w:hAnsi="Calibri"/>
          <w:sz w:val="22"/>
          <w:szCs w:val="22"/>
        </w:rPr>
        <w:t>kV</w:t>
      </w:r>
      <w:proofErr w:type="spellEnd"/>
      <w:r w:rsidRPr="00693033">
        <w:rPr>
          <w:rFonts w:ascii="Calibri" w:hAnsi="Calibri"/>
          <w:sz w:val="22"/>
          <w:szCs w:val="22"/>
        </w:rPr>
        <w:t xml:space="preserve">: Grodzisk, Żyrardów, Sochaczew 1, Teresin, Bielnik, Sochaczew 2, CPK2, CPK4; </w:t>
      </w:r>
    </w:p>
    <w:p w14:paraId="4B02035D" w14:textId="77777777" w:rsidR="00726CEC" w:rsidRPr="00693033" w:rsidRDefault="00726CEC" w:rsidP="00693033">
      <w:pPr>
        <w:widowControl w:val="0"/>
        <w:tabs>
          <w:tab w:val="left" w:pos="709"/>
        </w:tabs>
        <w:autoSpaceDE w:val="0"/>
        <w:autoSpaceDN w:val="0"/>
        <w:adjustRightInd w:val="0"/>
        <w:spacing w:before="0" w:after="0" w:line="276" w:lineRule="auto"/>
        <w:ind w:left="0" w:firstLine="0"/>
        <w:rPr>
          <w:rFonts w:ascii="Calibri" w:hAnsi="Calibri"/>
          <w:sz w:val="22"/>
          <w:szCs w:val="22"/>
        </w:rPr>
      </w:pPr>
      <w:r w:rsidRPr="00693033">
        <w:rPr>
          <w:rFonts w:ascii="Calibri" w:hAnsi="Calibri"/>
          <w:sz w:val="22"/>
          <w:szCs w:val="22"/>
        </w:rPr>
        <w:t>- Potrzeby własne po stronie 0,4kV.</w:t>
      </w:r>
    </w:p>
    <w:p w14:paraId="331AFE54" w14:textId="6EAE0B33" w:rsidR="00693033" w:rsidRPr="00693033" w:rsidRDefault="00693033" w:rsidP="00693033">
      <w:pPr>
        <w:spacing w:line="276" w:lineRule="auto"/>
        <w:ind w:firstLine="340"/>
        <w:rPr>
          <w:rFonts w:ascii="Calibri" w:hAnsi="Calibri"/>
          <w:sz w:val="22"/>
          <w:szCs w:val="22"/>
        </w:rPr>
      </w:pPr>
      <w:bookmarkStart w:id="132" w:name="_Toc198028131"/>
      <w:r>
        <w:rPr>
          <w:rFonts w:ascii="Calibri" w:hAnsi="Calibri"/>
          <w:sz w:val="22"/>
          <w:szCs w:val="22"/>
        </w:rPr>
        <w:lastRenderedPageBreak/>
        <w:t xml:space="preserve">Układy pomiarowe bilansowo-kontrolne WN, WN/SN oraz potrzeb własnych powinny spełniać wymagania obowiązującej </w:t>
      </w:r>
      <w:proofErr w:type="spellStart"/>
      <w:r>
        <w:rPr>
          <w:rFonts w:ascii="Calibri" w:hAnsi="Calibri"/>
          <w:sz w:val="22"/>
          <w:szCs w:val="22"/>
        </w:rPr>
        <w:t>IRiESD</w:t>
      </w:r>
      <w:proofErr w:type="spellEnd"/>
      <w:r>
        <w:rPr>
          <w:rFonts w:ascii="Calibri" w:hAnsi="Calibri"/>
          <w:sz w:val="22"/>
          <w:szCs w:val="22"/>
        </w:rPr>
        <w:t xml:space="preserve"> i obowiązujących WBSE Tom 7 w szczególności:</w:t>
      </w:r>
    </w:p>
    <w:p w14:paraId="2D9BA798" w14:textId="77777777" w:rsid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Pr>
          <w:rFonts w:ascii="Calibri" w:hAnsi="Calibri"/>
          <w:sz w:val="22"/>
          <w:szCs w:val="22"/>
        </w:rPr>
        <w:t>Muszą</w:t>
      </w:r>
      <w:r w:rsidRPr="007D6A33">
        <w:rPr>
          <w:rFonts w:ascii="Calibri" w:hAnsi="Calibri"/>
          <w:sz w:val="22"/>
          <w:szCs w:val="22"/>
        </w:rPr>
        <w:t xml:space="preserve"> być wyposażone w przekładniki prądowe o rdzeniach pomiarowych w klasie dokładności nie go</w:t>
      </w:r>
      <w:r>
        <w:rPr>
          <w:rFonts w:ascii="Calibri" w:hAnsi="Calibri"/>
          <w:sz w:val="22"/>
          <w:szCs w:val="22"/>
        </w:rPr>
        <w:t xml:space="preserve">rszej niż 0,2s i napięciowe o </w:t>
      </w:r>
      <w:r w:rsidRPr="007D6A33">
        <w:rPr>
          <w:rFonts w:ascii="Calibri" w:hAnsi="Calibri"/>
          <w:sz w:val="22"/>
          <w:szCs w:val="22"/>
        </w:rPr>
        <w:t xml:space="preserve">uzwojeniach pomiarowych w klasie dokładności nie gorszej niż 0,2 z dedykowanymi rdzeniami/uzwojeniami pomiarowymi  z uwzględnieniem możliwie najmniejszej liczby łączeń do licznikowych listew kontrolno-pomiarowych przystosowanych do plombowania. </w:t>
      </w:r>
      <w:r w:rsidRPr="00AC49A1">
        <w:rPr>
          <w:rFonts w:asciiTheme="minorHAnsi" w:hAnsiTheme="minorHAnsi" w:cstheme="minorHAnsi"/>
          <w:snapToGrid w:val="0"/>
          <w:color w:val="191919"/>
          <w:sz w:val="22"/>
          <w:szCs w:val="22"/>
        </w:rPr>
        <w:t>Do uzwojeń wtórnych przekładników w układach pomiarowych nie należy przyłączać innych przyrządów poza licznikami energii elektrycznej</w:t>
      </w:r>
      <w:r>
        <w:rPr>
          <w:rFonts w:asciiTheme="minorHAnsi" w:hAnsiTheme="minorHAnsi" w:cstheme="minorHAnsi"/>
          <w:snapToGrid w:val="0"/>
          <w:color w:val="191919"/>
          <w:sz w:val="22"/>
          <w:szCs w:val="22"/>
        </w:rPr>
        <w:t xml:space="preserve"> w rdzeniu 1. Do rdzenia 2 należy podłączyć analizatory parametrów sieci</w:t>
      </w:r>
    </w:p>
    <w:p w14:paraId="47794C35" w14:textId="77777777" w:rsid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Przekładniki napięciowe w układach bilansowo-kontrolnych</w:t>
      </w:r>
      <w:r>
        <w:rPr>
          <w:rFonts w:ascii="Calibri" w:hAnsi="Calibri"/>
          <w:sz w:val="22"/>
          <w:szCs w:val="22"/>
        </w:rPr>
        <w:t xml:space="preserve"> </w:t>
      </w:r>
      <w:r w:rsidRPr="007D6A33">
        <w:rPr>
          <w:rFonts w:ascii="Calibri" w:hAnsi="Calibri"/>
          <w:sz w:val="22"/>
          <w:szCs w:val="22"/>
        </w:rPr>
        <w:t xml:space="preserve">należy zabezpieczyć po stronie uzwojenia wtórnego. </w:t>
      </w:r>
    </w:p>
    <w:p w14:paraId="136D6CDE" w14:textId="77777777" w:rsidR="00693033" w:rsidRPr="007D6A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Nie należy stosować rezystorów dociążających dla przekładników napięciowych oraz prądowych. (poza technicznie niezbędnymi i uzasadnionymi przypadkami)</w:t>
      </w:r>
    </w:p>
    <w:p w14:paraId="67F62B6E" w14:textId="77777777" w:rsidR="00693033" w:rsidRPr="000B5850"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0B5850">
        <w:rPr>
          <w:rFonts w:ascii="Calibri" w:hAnsi="Calibri"/>
          <w:sz w:val="22"/>
          <w:szCs w:val="22"/>
        </w:rPr>
        <w:t>Współczynnik bezpieczeństwa przyrządu (FS) dla przekładników prądowych w układach pomiarowych powinien być ≤5.</w:t>
      </w:r>
    </w:p>
    <w:p w14:paraId="69ED104C" w14:textId="77777777" w:rsidR="00693033" w:rsidRDefault="00693033" w:rsidP="00B628F4">
      <w:pPr>
        <w:pStyle w:val="Akapitzlist"/>
        <w:widowControl w:val="0"/>
        <w:numPr>
          <w:ilvl w:val="0"/>
          <w:numId w:val="39"/>
        </w:numPr>
        <w:tabs>
          <w:tab w:val="left" w:pos="-284"/>
        </w:tabs>
        <w:autoSpaceDE w:val="0"/>
        <w:autoSpaceDN w:val="0"/>
        <w:adjustRightInd w:val="0"/>
        <w:spacing w:before="0" w:after="0" w:line="276" w:lineRule="auto"/>
        <w:ind w:left="1134"/>
        <w:rPr>
          <w:rFonts w:ascii="Calibri" w:hAnsi="Calibri"/>
          <w:sz w:val="22"/>
          <w:szCs w:val="22"/>
        </w:rPr>
      </w:pPr>
      <w:r w:rsidRPr="00466091">
        <w:rPr>
          <w:rFonts w:ascii="Calibri" w:hAnsi="Calibri"/>
          <w:sz w:val="22"/>
          <w:szCs w:val="22"/>
        </w:rPr>
        <w:t xml:space="preserve">Liczniki energii elektrycznej muszą być statyczne, czterokwadrantowe, wielostrefowe, 3-fazowe z wbudowanym zegarem sterującym, wykonanie zgodne z obowiązującymi na obszarze Rzeczpospolitej Polskiej przepisami. (w szczególności </w:t>
      </w:r>
      <w:r w:rsidRPr="00E862E7">
        <w:rPr>
          <w:rFonts w:ascii="Calibri" w:hAnsi="Calibri"/>
          <w:sz w:val="22"/>
          <w:szCs w:val="22"/>
        </w:rPr>
        <w:t xml:space="preserve">muszą spełniać wymagania określone w Rozporządzeniu Ministra Klimatu i Środowiska z dnia 22 marca 2022 roku w sprawie systemu pomiarowego dla kategorii A i Rozporządzeniu Ministra Klimatu i Środowiska z dnia 22.03.2023 roku w sprawie szczegółowych warunków funkcjonowania systemu elektroenergetycznego). </w:t>
      </w:r>
    </w:p>
    <w:p w14:paraId="46971EAF" w14:textId="77777777" w:rsidR="00693033" w:rsidRDefault="00693033" w:rsidP="00B628F4">
      <w:pPr>
        <w:pStyle w:val="Akapitzlist"/>
        <w:widowControl w:val="0"/>
        <w:numPr>
          <w:ilvl w:val="0"/>
          <w:numId w:val="39"/>
        </w:numPr>
        <w:tabs>
          <w:tab w:val="left" w:pos="-284"/>
        </w:tabs>
        <w:autoSpaceDE w:val="0"/>
        <w:autoSpaceDN w:val="0"/>
        <w:adjustRightInd w:val="0"/>
        <w:spacing w:before="0" w:after="0" w:line="276" w:lineRule="auto"/>
        <w:ind w:left="1134"/>
        <w:rPr>
          <w:rFonts w:ascii="Calibri" w:hAnsi="Calibri"/>
          <w:sz w:val="22"/>
          <w:szCs w:val="22"/>
        </w:rPr>
      </w:pPr>
      <w:r w:rsidRPr="00E862E7">
        <w:rPr>
          <w:rFonts w:ascii="Calibri" w:hAnsi="Calibri"/>
          <w:sz w:val="22"/>
          <w:szCs w:val="22"/>
        </w:rPr>
        <w:t>Dodatkowo muszą mieć możliwość zdalnej i lokalnej zmiany metody pomiaru i rejestracji energii z metody wektorowej na metodę arytmetyczną, rejestracje i przechowywanie w pamięci pomiarów wymaganych profili obciążenia oraz zapewniać odczyt lokalny w przypadku awarii łączy transmisyjnych lub w celach kontrolnych.</w:t>
      </w:r>
      <w:r w:rsidRPr="009D3599">
        <w:rPr>
          <w:rFonts w:ascii="Calibri" w:hAnsi="Calibri"/>
          <w:sz w:val="22"/>
          <w:szCs w:val="22"/>
        </w:rPr>
        <w:t xml:space="preserve"> </w:t>
      </w:r>
      <w:r w:rsidRPr="00970070">
        <w:rPr>
          <w:rFonts w:ascii="Calibri" w:hAnsi="Calibri"/>
          <w:sz w:val="22"/>
          <w:szCs w:val="22"/>
        </w:rPr>
        <w:t xml:space="preserve">W przypadku urządzeń, które nie podlegają prawnej kontroli metrologicznej lub dla których nie jest wymagana homologacja, urządzenie musi posiadać odpowiednie świadectwo badań (świadectwo wzorcowania), potwierdzające poprawność pomiarów zgodnie z obowiązującymi normami i przepisami. Powyższe badania powinny być wykonane przez uprawnione laboratoria posiadające akredytację w przedmiotowym zakresie. Okres pomiędzy kolejnymi </w:t>
      </w:r>
      <w:proofErr w:type="spellStart"/>
      <w:r w:rsidRPr="00970070">
        <w:rPr>
          <w:rFonts w:ascii="Calibri" w:hAnsi="Calibri"/>
          <w:sz w:val="22"/>
          <w:szCs w:val="22"/>
        </w:rPr>
        <w:t>wzorcowaniami</w:t>
      </w:r>
      <w:proofErr w:type="spellEnd"/>
      <w:r w:rsidRPr="00970070">
        <w:rPr>
          <w:rFonts w:ascii="Calibri" w:hAnsi="Calibri"/>
          <w:sz w:val="22"/>
          <w:szCs w:val="22"/>
        </w:rPr>
        <w:t xml:space="preserve"> tych urządzeń (za wyjątkiem przekładników pomiarowych prądowych i napięciowych) nie powinien przekraczać okresu ważności cech legalizacyjnych lub zabezpieczających (MID) licznika energii czynnej zainstalowanego w tym samym układzie pomiarowo-rozliczeniowym.</w:t>
      </w:r>
      <w:r w:rsidRPr="00466091">
        <w:rPr>
          <w:rFonts w:ascii="Calibri" w:hAnsi="Calibri"/>
          <w:sz w:val="22"/>
          <w:szCs w:val="22"/>
        </w:rPr>
        <w:t xml:space="preserve"> </w:t>
      </w:r>
      <w:r w:rsidRPr="00970070">
        <w:rPr>
          <w:rFonts w:ascii="Calibri" w:hAnsi="Calibri"/>
          <w:sz w:val="22"/>
          <w:szCs w:val="22"/>
        </w:rPr>
        <w:t xml:space="preserve">Okres między kolejnymi </w:t>
      </w:r>
      <w:proofErr w:type="spellStart"/>
      <w:r w:rsidRPr="00970070">
        <w:rPr>
          <w:rFonts w:ascii="Calibri" w:hAnsi="Calibri"/>
          <w:sz w:val="22"/>
          <w:szCs w:val="22"/>
        </w:rPr>
        <w:t>wzorcowaniami</w:t>
      </w:r>
      <w:proofErr w:type="spellEnd"/>
      <w:r w:rsidRPr="00970070">
        <w:rPr>
          <w:rFonts w:ascii="Calibri" w:hAnsi="Calibri"/>
          <w:sz w:val="22"/>
          <w:szCs w:val="22"/>
        </w:rPr>
        <w:t xml:space="preserve"> liczników, które nie podlegają prawnej kontroli metrologicznej, jest równy okresowi ważności legalizacji liczników klasy C, które podlegają tej kontroli, zgodnie z przepisami odrębnymi. Urządzenia podlegające wzorcowaniu powinny posiadać cechę zabezpieczającą nałożoną przez producenta lub laboratorium oraz nałożoną przez laboratorium cechę potwierdzającą dokonanie wzorcowania.</w:t>
      </w:r>
    </w:p>
    <w:p w14:paraId="2E80E8B5" w14:textId="54A1656B" w:rsidR="00693033" w:rsidRPr="000B5850"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0B5850">
        <w:rPr>
          <w:rFonts w:ascii="Calibri" w:hAnsi="Calibri"/>
          <w:sz w:val="22"/>
          <w:szCs w:val="22"/>
        </w:rPr>
        <w:t xml:space="preserve"> Muszą posiadać najmniej dwa niezależne interfejsy elektryczne typu RS485 </w:t>
      </w:r>
      <w:r>
        <w:rPr>
          <w:rFonts w:ascii="Calibri" w:hAnsi="Calibri"/>
          <w:sz w:val="22"/>
          <w:szCs w:val="22"/>
        </w:rPr>
        <w:t xml:space="preserve">lub RS 232 (szyfrowany) </w:t>
      </w:r>
      <w:r w:rsidRPr="000B5850">
        <w:rPr>
          <w:rFonts w:ascii="Calibri" w:hAnsi="Calibri"/>
          <w:sz w:val="22"/>
          <w:szCs w:val="22"/>
        </w:rPr>
        <w:t xml:space="preserve">oraz port </w:t>
      </w:r>
      <w:r>
        <w:rPr>
          <w:rFonts w:ascii="Calibri" w:eastAsiaTheme="minorHAnsi" w:hAnsi="Calibri" w:cs="Calibri"/>
          <w:sz w:val="22"/>
          <w:szCs w:val="22"/>
          <w:lang w:eastAsia="en-US"/>
        </w:rPr>
        <w:t>Ethernet (</w:t>
      </w:r>
      <w:r w:rsidRPr="000B5850">
        <w:rPr>
          <w:rFonts w:ascii="Calibri" w:hAnsi="Calibri"/>
          <w:sz w:val="22"/>
          <w:szCs w:val="22"/>
        </w:rPr>
        <w:t>LAN</w:t>
      </w:r>
      <w:r>
        <w:rPr>
          <w:rFonts w:ascii="Calibri" w:hAnsi="Calibri"/>
          <w:sz w:val="22"/>
          <w:szCs w:val="22"/>
        </w:rPr>
        <w:t>).</w:t>
      </w:r>
    </w:p>
    <w:p w14:paraId="226C2605" w14:textId="511D4B08" w:rsidR="00693033" w:rsidRP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693033">
        <w:rPr>
          <w:rFonts w:ascii="Calibri" w:hAnsi="Calibri"/>
          <w:sz w:val="22"/>
          <w:szCs w:val="22"/>
        </w:rPr>
        <w:t xml:space="preserve">Z liczników energii elektrycznej należy wyprowadzić zdalną transmisję danych pomiarowych dwutorową. Interfejs Ethernet 10/100 </w:t>
      </w:r>
      <w:proofErr w:type="spellStart"/>
      <w:r w:rsidRPr="00693033">
        <w:rPr>
          <w:rFonts w:ascii="Calibri" w:hAnsi="Calibri"/>
          <w:sz w:val="22"/>
          <w:szCs w:val="22"/>
        </w:rPr>
        <w:t>Mbps</w:t>
      </w:r>
      <w:proofErr w:type="spellEnd"/>
      <w:r w:rsidRPr="00693033">
        <w:rPr>
          <w:rFonts w:ascii="Calibri" w:hAnsi="Calibri"/>
          <w:sz w:val="22"/>
          <w:szCs w:val="22"/>
        </w:rPr>
        <w:t xml:space="preserve"> (gniazdo RJ-45) jako drogę podstawową oraz GPRS (w technologii LTE 450 wraz z 2G i 4G) jako rezerwową drogę transmisji danych  poprzez montaż </w:t>
      </w:r>
      <w:r w:rsidRPr="00693033">
        <w:rPr>
          <w:rFonts w:ascii="Calibri" w:hAnsi="Calibri"/>
          <w:sz w:val="22"/>
          <w:szCs w:val="22"/>
        </w:rPr>
        <w:lastRenderedPageBreak/>
        <w:t xml:space="preserve">i konfiguracje urządzeń  z portami RS485 z szyfrowaną transmisją danych lub </w:t>
      </w:r>
      <w:proofErr w:type="spellStart"/>
      <w:r w:rsidRPr="00693033">
        <w:rPr>
          <w:rFonts w:ascii="Calibri" w:hAnsi="Calibri"/>
          <w:sz w:val="22"/>
          <w:szCs w:val="22"/>
        </w:rPr>
        <w:t>Eth</w:t>
      </w:r>
      <w:proofErr w:type="spellEnd"/>
      <w:r w:rsidRPr="00693033">
        <w:rPr>
          <w:rFonts w:ascii="Calibri" w:hAnsi="Calibri"/>
          <w:sz w:val="22"/>
          <w:szCs w:val="22"/>
        </w:rPr>
        <w:t>. Szyna danych RS 485 winna być łączona w punktach węzłowych za pomocą złączek szynowych 3 piętrowych. N</w:t>
      </w:r>
      <w:r>
        <w:rPr>
          <w:rFonts w:ascii="Calibri" w:hAnsi="Calibri"/>
          <w:sz w:val="22"/>
          <w:szCs w:val="22"/>
        </w:rPr>
        <w:t xml:space="preserve">ie należy stosować trójników </w:t>
      </w:r>
      <w:r w:rsidRPr="00693033">
        <w:rPr>
          <w:rFonts w:ascii="Calibri" w:hAnsi="Calibri"/>
          <w:sz w:val="22"/>
          <w:szCs w:val="22"/>
        </w:rPr>
        <w:t>(rozgałęźników) telefonicznych</w:t>
      </w:r>
      <w:r>
        <w:rPr>
          <w:rFonts w:ascii="Calibri" w:hAnsi="Calibri"/>
          <w:sz w:val="22"/>
          <w:szCs w:val="22"/>
        </w:rPr>
        <w:t>.</w:t>
      </w:r>
    </w:p>
    <w:p w14:paraId="29FB657C" w14:textId="77777777" w:rsidR="00693033" w:rsidRPr="00651F80" w:rsidRDefault="00693033" w:rsidP="00B628F4">
      <w:pPr>
        <w:pStyle w:val="Akapitzlist"/>
        <w:widowControl w:val="0"/>
        <w:numPr>
          <w:ilvl w:val="0"/>
          <w:numId w:val="39"/>
        </w:numPr>
        <w:spacing w:before="0" w:after="0"/>
        <w:contextualSpacing w:val="0"/>
        <w:outlineLvl w:val="3"/>
        <w:rPr>
          <w:rFonts w:asciiTheme="minorHAnsi" w:hAnsiTheme="minorHAnsi" w:cstheme="minorHAnsi"/>
          <w:sz w:val="22"/>
          <w:szCs w:val="22"/>
        </w:rPr>
      </w:pPr>
      <w:r w:rsidRPr="00651F80">
        <w:rPr>
          <w:rFonts w:asciiTheme="minorHAnsi" w:hAnsiTheme="minorHAnsi" w:cstheme="minorHAnsi"/>
          <w:sz w:val="22"/>
          <w:szCs w:val="22"/>
        </w:rPr>
        <w:t xml:space="preserve">Wszystkie porty komunikacyjne liczników należy połączyć w dwie niezależne szyny adresowe </w:t>
      </w:r>
      <w:r>
        <w:rPr>
          <w:rFonts w:asciiTheme="minorHAnsi" w:hAnsiTheme="minorHAnsi" w:cstheme="minorHAnsi"/>
          <w:sz w:val="22"/>
          <w:szCs w:val="22"/>
        </w:rPr>
        <w:t>do urządzeń w pomieszczeniu łączności.</w:t>
      </w:r>
      <w:r w:rsidRPr="00651F80">
        <w:rPr>
          <w:rFonts w:asciiTheme="minorHAnsi" w:hAnsiTheme="minorHAnsi" w:cstheme="minorHAnsi"/>
          <w:sz w:val="22"/>
          <w:szCs w:val="22"/>
        </w:rPr>
        <w:t xml:space="preserve"> </w:t>
      </w:r>
      <w:r>
        <w:rPr>
          <w:rFonts w:asciiTheme="minorHAnsi" w:hAnsiTheme="minorHAnsi" w:cstheme="minorHAnsi"/>
          <w:sz w:val="22"/>
          <w:szCs w:val="22"/>
        </w:rPr>
        <w:t>P</w:t>
      </w:r>
      <w:r w:rsidRPr="00651F80">
        <w:rPr>
          <w:rFonts w:asciiTheme="minorHAnsi" w:hAnsiTheme="minorHAnsi" w:cstheme="minorHAnsi"/>
          <w:sz w:val="22"/>
          <w:szCs w:val="22"/>
        </w:rPr>
        <w:t>rzygotować odpowiednią instalację w postaci skrętki do pomieszczenia łączności, drugą</w:t>
      </w:r>
      <w:r>
        <w:rPr>
          <w:rFonts w:asciiTheme="minorHAnsi" w:hAnsiTheme="minorHAnsi" w:cstheme="minorHAnsi"/>
          <w:sz w:val="22"/>
          <w:szCs w:val="22"/>
        </w:rPr>
        <w:t xml:space="preserve"> instalację</w:t>
      </w:r>
      <w:r w:rsidRPr="00651F80">
        <w:rPr>
          <w:rFonts w:asciiTheme="minorHAnsi" w:hAnsiTheme="minorHAnsi" w:cstheme="minorHAnsi"/>
          <w:sz w:val="22"/>
          <w:szCs w:val="22"/>
        </w:rPr>
        <w:t xml:space="preserve"> </w:t>
      </w:r>
      <w:r>
        <w:rPr>
          <w:rFonts w:asciiTheme="minorHAnsi" w:hAnsiTheme="minorHAnsi" w:cstheme="minorHAnsi"/>
          <w:sz w:val="22"/>
          <w:szCs w:val="22"/>
        </w:rPr>
        <w:t xml:space="preserve">do transmisji GPRS do istniejącego modemu lub nowoprojektowanego ze wszystkich pół objętych pomiarem z </w:t>
      </w:r>
      <w:proofErr w:type="spellStart"/>
      <w:r>
        <w:rPr>
          <w:rFonts w:asciiTheme="minorHAnsi" w:hAnsiTheme="minorHAnsi" w:cstheme="minorHAnsi"/>
          <w:sz w:val="22"/>
          <w:szCs w:val="22"/>
        </w:rPr>
        <w:t>wykozystaniem</w:t>
      </w:r>
      <w:proofErr w:type="spellEnd"/>
      <w:r>
        <w:rPr>
          <w:rFonts w:asciiTheme="minorHAnsi" w:hAnsiTheme="minorHAnsi" w:cstheme="minorHAnsi"/>
          <w:sz w:val="22"/>
          <w:szCs w:val="22"/>
        </w:rPr>
        <w:t xml:space="preserve"> liczników energii elektrycznej. </w:t>
      </w:r>
    </w:p>
    <w:p w14:paraId="2C710D74" w14:textId="77777777" w:rsid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 xml:space="preserve">Układy pomiarowe należy instalować w oddzielnych </w:t>
      </w:r>
      <w:r>
        <w:rPr>
          <w:rFonts w:ascii="Calibri" w:hAnsi="Calibri"/>
          <w:sz w:val="22"/>
          <w:szCs w:val="22"/>
        </w:rPr>
        <w:t xml:space="preserve">nowoprojektowanych </w:t>
      </w:r>
      <w:r w:rsidRPr="007D6A33">
        <w:rPr>
          <w:rFonts w:ascii="Calibri" w:hAnsi="Calibri"/>
          <w:sz w:val="22"/>
          <w:szCs w:val="22"/>
        </w:rPr>
        <w:t xml:space="preserve">szafach pomiarowych zlokalizowanych w pomieszczeniach nastawni </w:t>
      </w:r>
      <w:r>
        <w:rPr>
          <w:rFonts w:asciiTheme="minorHAnsi" w:hAnsiTheme="minorHAnsi" w:cstheme="minorHAnsi"/>
          <w:snapToGrid w:val="0"/>
          <w:color w:val="191919"/>
          <w:sz w:val="22"/>
          <w:szCs w:val="22"/>
        </w:rPr>
        <w:t>lub</w:t>
      </w:r>
      <w:r w:rsidRPr="00AC49A1">
        <w:rPr>
          <w:rFonts w:asciiTheme="minorHAnsi" w:hAnsiTheme="minorHAnsi" w:cstheme="minorHAnsi"/>
          <w:snapToGrid w:val="0"/>
          <w:color w:val="191919"/>
          <w:sz w:val="22"/>
          <w:szCs w:val="22"/>
        </w:rPr>
        <w:t xml:space="preserve"> wykorzystać szafy pomiarowe istniejące. Należy unikać zbyt niskiego usytuowania liczników.</w:t>
      </w:r>
    </w:p>
    <w:p w14:paraId="06203D67" w14:textId="77777777" w:rsid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Pr>
          <w:rFonts w:ascii="Calibri" w:hAnsi="Calibri"/>
          <w:sz w:val="22"/>
          <w:szCs w:val="22"/>
        </w:rPr>
        <w:t xml:space="preserve">Listwy kontrolno-pomiarowe muszą </w:t>
      </w:r>
      <w:r w:rsidRPr="000B5850">
        <w:rPr>
          <w:rFonts w:ascii="Calibri" w:hAnsi="Calibri"/>
          <w:sz w:val="22"/>
          <w:szCs w:val="22"/>
        </w:rPr>
        <w:t>posiadać zaciski sprężynowe do podłączania obwod</w:t>
      </w:r>
      <w:r>
        <w:rPr>
          <w:rFonts w:ascii="Calibri" w:hAnsi="Calibri"/>
          <w:sz w:val="22"/>
          <w:szCs w:val="22"/>
        </w:rPr>
        <w:t>ów wtórnych układów pomiarowych</w:t>
      </w:r>
      <w:r w:rsidRPr="000B5850">
        <w:rPr>
          <w:rFonts w:ascii="Calibri" w:hAnsi="Calibri"/>
          <w:sz w:val="22"/>
          <w:szCs w:val="22"/>
        </w:rPr>
        <w:t xml:space="preserve"> zabezpieczania (w postaci bezpieczników topikowych) w torach napięciowych jeżeli warunki zwarciowe tego wymagają</w:t>
      </w:r>
      <w:r>
        <w:rPr>
          <w:rFonts w:ascii="Calibri" w:hAnsi="Calibri"/>
          <w:sz w:val="22"/>
          <w:szCs w:val="22"/>
        </w:rPr>
        <w:t xml:space="preserve">, </w:t>
      </w:r>
      <w:r w:rsidRPr="00411350">
        <w:rPr>
          <w:rFonts w:ascii="Calibri" w:hAnsi="Calibri"/>
          <w:sz w:val="22"/>
          <w:szCs w:val="22"/>
        </w:rPr>
        <w:t>powinny umożliwiać połącznie urządzenia kontrolnego (np. analizator obwodów tr</w:t>
      </w:r>
      <w:r>
        <w:rPr>
          <w:rFonts w:ascii="Calibri" w:hAnsi="Calibri"/>
          <w:sz w:val="22"/>
          <w:szCs w:val="22"/>
        </w:rPr>
        <w:t>ójfazowych, licznik kontrolny).</w:t>
      </w:r>
    </w:p>
    <w:p w14:paraId="00E46C01" w14:textId="2EAB8BD5" w:rsidR="00693033" w:rsidRPr="00693033" w:rsidRDefault="00693033" w:rsidP="00B628F4">
      <w:pPr>
        <w:pStyle w:val="Akapitzlist"/>
        <w:widowControl w:val="0"/>
        <w:numPr>
          <w:ilvl w:val="0"/>
          <w:numId w:val="39"/>
        </w:numPr>
        <w:autoSpaceDE w:val="0"/>
        <w:autoSpaceDN w:val="0"/>
        <w:adjustRightInd w:val="0"/>
        <w:spacing w:before="0" w:after="0" w:line="276" w:lineRule="auto"/>
        <w:rPr>
          <w:rFonts w:ascii="Calibri" w:hAnsi="Calibri"/>
          <w:sz w:val="22"/>
          <w:szCs w:val="22"/>
        </w:rPr>
      </w:pPr>
      <w:r w:rsidRPr="00693033">
        <w:rPr>
          <w:rFonts w:asciiTheme="minorHAnsi" w:hAnsiTheme="minorHAnsi" w:cstheme="minorHAnsi"/>
          <w:snapToGrid w:val="0"/>
          <w:color w:val="191919"/>
          <w:sz w:val="22"/>
          <w:szCs w:val="22"/>
        </w:rPr>
        <w:t>Do liczników należy doprowadzić napięcie pomocnicze (dodatkowe) z potrzeb własnych stacji.</w:t>
      </w:r>
    </w:p>
    <w:p w14:paraId="56102127" w14:textId="77777777" w:rsidR="00693033" w:rsidRPr="00D33635" w:rsidRDefault="00693033" w:rsidP="00693033">
      <w:pPr>
        <w:spacing w:line="276" w:lineRule="auto"/>
        <w:rPr>
          <w:rFonts w:ascii="Calibri" w:hAnsi="Calibri"/>
          <w:i/>
          <w:sz w:val="22"/>
          <w:szCs w:val="22"/>
        </w:rPr>
      </w:pPr>
      <w:r w:rsidRPr="00FA562A">
        <w:rPr>
          <w:rFonts w:ascii="Calibri" w:hAnsi="Calibri"/>
          <w:sz w:val="22"/>
          <w:szCs w:val="22"/>
        </w:rPr>
        <w:t>Uwaga: Wszystkie urządzenia, elementy układów pomiarowych dostarcza wykonawca.</w:t>
      </w:r>
    </w:p>
    <w:p w14:paraId="7943DDD8" w14:textId="77777777" w:rsidR="00726CEC" w:rsidRPr="00726CEC" w:rsidRDefault="00726CEC" w:rsidP="00726CEC">
      <w:pPr>
        <w:pStyle w:val="Nagwek2"/>
      </w:pPr>
      <w:bookmarkStart w:id="133" w:name="_Toc216678525"/>
      <w:r w:rsidRPr="00726CEC">
        <w:t>Zagospodarowanie terenu</w:t>
      </w:r>
      <w:bookmarkEnd w:id="132"/>
      <w:bookmarkEnd w:id="133"/>
    </w:p>
    <w:p w14:paraId="4E512054"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rPr>
      </w:pPr>
      <w:r w:rsidRPr="00726CEC">
        <w:rPr>
          <w:rFonts w:ascii="Calibri" w:hAnsi="Calibri"/>
          <w:sz w:val="22"/>
          <w:szCs w:val="22"/>
        </w:rPr>
        <w:t>Badania geologiczne gruntu zrealizuje Wykonawca dokumentacji projektowej.</w:t>
      </w:r>
    </w:p>
    <w:p w14:paraId="195205A5"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rPr>
      </w:pPr>
    </w:p>
    <w:p w14:paraId="7AAF3739"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 xml:space="preserve">Wymagania z zakresu ochrony przeciwpożarowej </w:t>
      </w:r>
    </w:p>
    <w:p w14:paraId="2EE66CF6"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rPr>
      </w:pPr>
      <w:r w:rsidRPr="00726CEC">
        <w:rPr>
          <w:rFonts w:ascii="Calibri" w:hAnsi="Calibri"/>
          <w:sz w:val="22"/>
          <w:szCs w:val="22"/>
        </w:rPr>
        <w:t>W procesie projektowania należy zrealizować następujące wytyczne:</w:t>
      </w:r>
    </w:p>
    <w:p w14:paraId="58EED888" w14:textId="77777777" w:rsidR="00726CEC" w:rsidRPr="00726CEC" w:rsidRDefault="00726CEC" w:rsidP="00B628F4">
      <w:pPr>
        <w:widowControl w:val="0"/>
        <w:numPr>
          <w:ilvl w:val="0"/>
          <w:numId w:val="37"/>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 xml:space="preserve">Do prac używać wyłącznie materiałów posiadających aktualne atesty, certyfikaty </w:t>
      </w:r>
      <w:r w:rsidRPr="00726CEC">
        <w:rPr>
          <w:rFonts w:ascii="Calibri" w:hAnsi="Calibri"/>
          <w:sz w:val="22"/>
          <w:szCs w:val="22"/>
        </w:rPr>
        <w:br/>
        <w:t xml:space="preserve">i dopuszczenia – </w:t>
      </w:r>
      <w:r w:rsidRPr="00726CEC">
        <w:rPr>
          <w:rFonts w:ascii="Calibri" w:hAnsi="Calibri" w:cs="Calibri"/>
          <w:i/>
          <w:sz w:val="22"/>
          <w:szCs w:val="22"/>
        </w:rPr>
        <w:t>Ustawa z dnia 7 lipca 1994 r. Prawo budowlane (</w:t>
      </w:r>
      <w:proofErr w:type="spellStart"/>
      <w:r w:rsidRPr="00726CEC">
        <w:rPr>
          <w:rFonts w:ascii="Calibri" w:hAnsi="Calibri" w:cs="Calibri"/>
          <w:i/>
          <w:sz w:val="22"/>
          <w:szCs w:val="22"/>
        </w:rPr>
        <w:t>t.j</w:t>
      </w:r>
      <w:proofErr w:type="spellEnd"/>
      <w:r w:rsidRPr="00726CEC">
        <w:rPr>
          <w:rFonts w:ascii="Calibri" w:hAnsi="Calibri" w:cs="Calibri"/>
          <w:i/>
          <w:sz w:val="22"/>
          <w:szCs w:val="22"/>
        </w:rPr>
        <w:t xml:space="preserve">. Dz.U. 2018, poz. 1202 </w:t>
      </w:r>
      <w:r w:rsidRPr="00726CEC">
        <w:rPr>
          <w:rFonts w:ascii="Calibri" w:hAnsi="Calibri" w:cs="Calibri"/>
          <w:i/>
          <w:sz w:val="22"/>
          <w:szCs w:val="22"/>
        </w:rPr>
        <w:br/>
        <w:t xml:space="preserve">z </w:t>
      </w:r>
      <w:proofErr w:type="spellStart"/>
      <w:r w:rsidRPr="00726CEC">
        <w:rPr>
          <w:rFonts w:ascii="Calibri" w:hAnsi="Calibri" w:cs="Calibri"/>
          <w:i/>
          <w:sz w:val="22"/>
          <w:szCs w:val="22"/>
        </w:rPr>
        <w:t>późn</w:t>
      </w:r>
      <w:proofErr w:type="spellEnd"/>
      <w:r w:rsidRPr="00726CEC">
        <w:rPr>
          <w:rFonts w:ascii="Calibri" w:hAnsi="Calibri" w:cs="Calibri"/>
          <w:i/>
          <w:sz w:val="22"/>
          <w:szCs w:val="22"/>
        </w:rPr>
        <w:t>. zm.)</w:t>
      </w:r>
      <w:r w:rsidRPr="00726CEC">
        <w:rPr>
          <w:rFonts w:ascii="Calibri" w:hAnsi="Calibri" w:cs="Calibri"/>
          <w:sz w:val="22"/>
          <w:szCs w:val="22"/>
        </w:rPr>
        <w:t>;</w:t>
      </w:r>
    </w:p>
    <w:p w14:paraId="5DF5B7F7" w14:textId="77777777" w:rsidR="00726CEC" w:rsidRPr="00726CEC" w:rsidRDefault="00726CEC" w:rsidP="00B628F4">
      <w:pPr>
        <w:widowControl w:val="0"/>
        <w:numPr>
          <w:ilvl w:val="0"/>
          <w:numId w:val="37"/>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Zapewnić warunki ewakuacji (długość, szerokość, brak przeszkód itd. dróg ewakuacji);</w:t>
      </w:r>
    </w:p>
    <w:p w14:paraId="369F6169" w14:textId="77777777" w:rsidR="00726CEC" w:rsidRPr="00726CEC" w:rsidRDefault="00726CEC" w:rsidP="00B628F4">
      <w:pPr>
        <w:widowControl w:val="0"/>
        <w:numPr>
          <w:ilvl w:val="0"/>
          <w:numId w:val="37"/>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Zapewnić dojazd pożarowy do obiektu i zaopatrzenie w wodę do gaszenia – </w:t>
      </w:r>
      <w:r w:rsidRPr="00726CEC">
        <w:rPr>
          <w:rFonts w:ascii="Calibri" w:hAnsi="Calibri"/>
          <w:i/>
          <w:sz w:val="22"/>
          <w:szCs w:val="22"/>
        </w:rPr>
        <w:t xml:space="preserve">Rozporządzenie Ministra Spraw Wewnętrznych i Administracji z dnia 24 lipca 2009 r. w sprawie przeciwpożarowego zaopatrzenia w wodę oraz dróg pożarowych (Dz.U. </w:t>
      </w:r>
      <w:r w:rsidRPr="00726CEC">
        <w:rPr>
          <w:rFonts w:ascii="Calibri" w:hAnsi="Calibri"/>
          <w:i/>
          <w:sz w:val="22"/>
          <w:szCs w:val="22"/>
        </w:rPr>
        <w:br/>
        <w:t>2009 nr 124, poz. 1030)</w:t>
      </w:r>
      <w:r w:rsidRPr="00726CEC">
        <w:rPr>
          <w:rFonts w:ascii="Calibri" w:hAnsi="Calibri"/>
          <w:sz w:val="22"/>
          <w:szCs w:val="22"/>
        </w:rPr>
        <w:t>;</w:t>
      </w:r>
    </w:p>
    <w:p w14:paraId="1B68DB74" w14:textId="77777777" w:rsidR="00726CEC" w:rsidRPr="00726CEC" w:rsidRDefault="00726CEC" w:rsidP="00B628F4">
      <w:pPr>
        <w:widowControl w:val="0"/>
        <w:numPr>
          <w:ilvl w:val="0"/>
          <w:numId w:val="38"/>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Całość obiektu oznakować znakami ochrony przeciwpożarowej (ewakuacji i sprzętu), rozmieścić podręczny sprzęt gaśniczy, instrukcje przeciwpożarowe, schemat SSAP;</w:t>
      </w:r>
    </w:p>
    <w:p w14:paraId="20B7B09B" w14:textId="77777777" w:rsidR="00726CEC" w:rsidRPr="00726CEC" w:rsidRDefault="00726CEC" w:rsidP="00B628F4">
      <w:pPr>
        <w:widowControl w:val="0"/>
        <w:numPr>
          <w:ilvl w:val="0"/>
          <w:numId w:val="38"/>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Podłogi technologiczne o niepalnej konstrukcji i niepalnych płytach (EI  30), przepusty technologiczne zamknięte przegrodami EI 60;</w:t>
      </w:r>
    </w:p>
    <w:p w14:paraId="41FEFE61" w14:textId="77777777" w:rsidR="00726CEC" w:rsidRPr="00726CEC" w:rsidRDefault="00726CEC" w:rsidP="00B628F4">
      <w:pPr>
        <w:widowControl w:val="0"/>
        <w:numPr>
          <w:ilvl w:val="0"/>
          <w:numId w:val="38"/>
        </w:numPr>
        <w:autoSpaceDE w:val="0"/>
        <w:autoSpaceDN w:val="0"/>
        <w:adjustRightInd w:val="0"/>
        <w:spacing w:before="0" w:after="0" w:line="276" w:lineRule="auto"/>
        <w:ind w:left="680" w:hanging="340"/>
        <w:contextualSpacing/>
        <w:jc w:val="left"/>
        <w:rPr>
          <w:rFonts w:ascii="Calibri" w:hAnsi="Calibri"/>
          <w:sz w:val="22"/>
          <w:szCs w:val="22"/>
        </w:rPr>
      </w:pPr>
      <w:r w:rsidRPr="00726CEC">
        <w:rPr>
          <w:rFonts w:ascii="Calibri" w:hAnsi="Calibri"/>
          <w:sz w:val="22"/>
          <w:szCs w:val="22"/>
        </w:rPr>
        <w:t>Uzyskać ocenę i podpis rzeczoznawcy ds. zabezpieczeń przeciwpożarowych.</w:t>
      </w:r>
    </w:p>
    <w:p w14:paraId="6E71A16F" w14:textId="77777777" w:rsidR="00726CEC" w:rsidRPr="00726CEC" w:rsidRDefault="00726CEC" w:rsidP="00941EC8">
      <w:pPr>
        <w:widowControl w:val="0"/>
        <w:autoSpaceDE w:val="0"/>
        <w:autoSpaceDN w:val="0"/>
        <w:adjustRightInd w:val="0"/>
        <w:spacing w:before="0" w:after="0" w:line="276" w:lineRule="auto"/>
        <w:ind w:left="709" w:firstLine="0"/>
        <w:jc w:val="left"/>
        <w:rPr>
          <w:rFonts w:ascii="Calibri" w:hAnsi="Calibri"/>
          <w:b/>
          <w:sz w:val="22"/>
          <w:szCs w:val="22"/>
        </w:rPr>
      </w:pPr>
    </w:p>
    <w:p w14:paraId="184B0322"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Wyznaczenie miejsca pod wieżę</w:t>
      </w:r>
    </w:p>
    <w:p w14:paraId="10C3E0BC"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Na terenie stacji należy przewidzieć miejsce pod budowę wieży radiowej. Wybudować kanalizację teletechniczną od miejsca przeznaczonego na wybudowanie wieży do pomieszczenia, w którym zlokalizowany będzie węzeł łączności.</w:t>
      </w:r>
    </w:p>
    <w:p w14:paraId="4591344F" w14:textId="77777777" w:rsidR="00726CEC" w:rsidRPr="00726CEC" w:rsidRDefault="00726CEC" w:rsidP="00941EC8">
      <w:pPr>
        <w:widowControl w:val="0"/>
        <w:tabs>
          <w:tab w:val="left" w:pos="709"/>
        </w:tabs>
        <w:autoSpaceDE w:val="0"/>
        <w:autoSpaceDN w:val="0"/>
        <w:adjustRightInd w:val="0"/>
        <w:spacing w:before="0" w:after="0" w:line="276" w:lineRule="auto"/>
        <w:ind w:left="0" w:firstLine="0"/>
        <w:jc w:val="left"/>
        <w:rPr>
          <w:rFonts w:ascii="Calibri" w:hAnsi="Calibri"/>
          <w:sz w:val="22"/>
          <w:szCs w:val="22"/>
          <w:u w:val="single"/>
        </w:rPr>
      </w:pPr>
    </w:p>
    <w:p w14:paraId="6E909463" w14:textId="77777777" w:rsidR="00726CEC" w:rsidRPr="00726CEC" w:rsidRDefault="00726CEC" w:rsidP="00941EC8">
      <w:pPr>
        <w:widowControl w:val="0"/>
        <w:tabs>
          <w:tab w:val="left" w:pos="709"/>
        </w:tabs>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Ochrona odgromowa</w:t>
      </w:r>
    </w:p>
    <w:p w14:paraId="3B998410"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lastRenderedPageBreak/>
        <w:t>Od bezpośrednich wyładowań atmosferycznych urządzenia stacji chronić za pomocą instalacji odgromowej - zwodów pionowych i poziomych, przewodów odprowadzających, uziomu oraz złącz kontrolnych.</w:t>
      </w:r>
    </w:p>
    <w:p w14:paraId="0B6C3B73"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highlight w:val="yellow"/>
        </w:rPr>
      </w:pPr>
    </w:p>
    <w:p w14:paraId="523151E4"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Uziemienia</w:t>
      </w:r>
    </w:p>
    <w:p w14:paraId="491F6AA0"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 xml:space="preserve">Uziemienie ochronne i robocze stacji wykonać jako wspólne w postaci kratownicy, ułożonej na całym terenie stacji na głębokości 80cm. </w:t>
      </w:r>
    </w:p>
    <w:p w14:paraId="554A4AF3"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 xml:space="preserve">Wszystkie połączenia części </w:t>
      </w:r>
      <w:proofErr w:type="spellStart"/>
      <w:r w:rsidRPr="00726CEC">
        <w:rPr>
          <w:rFonts w:ascii="Calibri" w:hAnsi="Calibri"/>
          <w:sz w:val="22"/>
          <w:szCs w:val="22"/>
        </w:rPr>
        <w:t>uziomowych</w:t>
      </w:r>
      <w:proofErr w:type="spellEnd"/>
      <w:r w:rsidRPr="00726CEC">
        <w:rPr>
          <w:rFonts w:ascii="Calibri" w:hAnsi="Calibri"/>
          <w:sz w:val="22"/>
          <w:szCs w:val="22"/>
        </w:rPr>
        <w:t xml:space="preserve"> powinny być wykonane za pomocą szczelnych połączeń skręcanych (wyposażonych we wkładki uszczelniające).</w:t>
      </w:r>
    </w:p>
    <w:p w14:paraId="1E2A296A"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Aparaturę wysokiego napięcia należy połączyć z elementem stalowym konstrukcji wsporczej za pomocą linki miedzianej.</w:t>
      </w:r>
    </w:p>
    <w:p w14:paraId="528398E1"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Naziemną część przewodów uziemiających należy oznaczyć barwami bezpieczeństwa.</w:t>
      </w:r>
    </w:p>
    <w:p w14:paraId="1D8CD39F"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Wykonawca robót budowlano-montażowych wykona pomiary rezystywności gruntu i zastosuje potrzebne uziomy pionowe.</w:t>
      </w:r>
    </w:p>
    <w:p w14:paraId="3E9F331C"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b/>
          <w:sz w:val="22"/>
          <w:szCs w:val="22"/>
          <w:highlight w:val="yellow"/>
        </w:rPr>
      </w:pPr>
    </w:p>
    <w:p w14:paraId="7C78836C"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 xml:space="preserve">Odwodnienie i drenaż </w:t>
      </w:r>
    </w:p>
    <w:p w14:paraId="3656C6AA"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Wykonać drenaż wokół stacji gwarantujący obniżenie poziomu wód gruntowych poniżej dna fundamentu.</w:t>
      </w:r>
    </w:p>
    <w:p w14:paraId="3A10281F"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b/>
          <w:sz w:val="22"/>
          <w:szCs w:val="22"/>
          <w:highlight w:val="yellow"/>
        </w:rPr>
      </w:pPr>
    </w:p>
    <w:p w14:paraId="18E0083A"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Drogi</w:t>
      </w:r>
    </w:p>
    <w:p w14:paraId="65A8602D"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 xml:space="preserve">Wykonać drogi wewnętrzne odpowiadające wymogom dróg ppoż. oraz umożliwiające transport drogowy transformatorów mocy do miejsca ustawienia na stanowiskach. </w:t>
      </w:r>
    </w:p>
    <w:p w14:paraId="077E86A7"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Nawierzchnie dróg wewnętrznych wykonać z kostki betonowej obramowanej krawężnikami betonowymi.</w:t>
      </w:r>
    </w:p>
    <w:p w14:paraId="1C006227"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Na skrzyżowaniach z drogami, ogrodzeniem stacji i innymi instalacjami podziemnymi wykonać osłony rurowe dla kabli (dostosowane do przewidywanych nacisków) w ilości uwzględniającej stan docelowy.</w:t>
      </w:r>
    </w:p>
    <w:p w14:paraId="55C22F75"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p>
    <w:p w14:paraId="15A38BAD"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u w:val="single"/>
        </w:rPr>
      </w:pPr>
      <w:r w:rsidRPr="00726CEC">
        <w:rPr>
          <w:rFonts w:ascii="Calibri" w:hAnsi="Calibri"/>
          <w:sz w:val="22"/>
          <w:szCs w:val="22"/>
          <w:u w:val="single"/>
        </w:rPr>
        <w:t>Oświetlenie terenu stacji</w:t>
      </w:r>
    </w:p>
    <w:p w14:paraId="3E321C1A"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i/>
          <w:sz w:val="22"/>
          <w:szCs w:val="22"/>
        </w:rPr>
      </w:pPr>
      <w:r w:rsidRPr="00726CEC">
        <w:rPr>
          <w:rFonts w:ascii="Calibri" w:hAnsi="Calibri"/>
          <w:sz w:val="22"/>
          <w:szCs w:val="22"/>
        </w:rPr>
        <w:t xml:space="preserve">Oświetlenie zewnętrzne wykonać zgodnie z normą PN-EN 12464-2:2014-05 </w:t>
      </w:r>
      <w:r w:rsidRPr="00726CEC">
        <w:rPr>
          <w:rFonts w:ascii="Calibri" w:hAnsi="Calibri"/>
          <w:i/>
          <w:sz w:val="22"/>
          <w:szCs w:val="22"/>
        </w:rPr>
        <w:t>Światło i oświetlenie. Oświetlenie miejsc pracy. Część 2: Miejsca pracy na zewnątrz</w:t>
      </w:r>
      <w:r w:rsidRPr="00726CEC">
        <w:rPr>
          <w:rFonts w:ascii="Calibri" w:hAnsi="Calibri"/>
          <w:sz w:val="22"/>
          <w:szCs w:val="22"/>
        </w:rPr>
        <w:t xml:space="preserve">. Oświetlenie zewnętrzne powinno być zaprojektowane w oparciu o profilowane, ocynkowane słupy oświetleniowe oraz energooszczędne  lampy ze standardowymi wymiennymi źródłami światła LED. </w:t>
      </w:r>
    </w:p>
    <w:p w14:paraId="236CEA63" w14:textId="77777777" w:rsidR="00726CEC" w:rsidRP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p>
    <w:p w14:paraId="2468A2BF" w14:textId="77777777" w:rsidR="00726CEC" w:rsidRPr="00726CEC" w:rsidRDefault="00726CEC" w:rsidP="00941EC8">
      <w:pPr>
        <w:widowControl w:val="0"/>
        <w:autoSpaceDE w:val="0"/>
        <w:autoSpaceDN w:val="0"/>
        <w:adjustRightInd w:val="0"/>
        <w:spacing w:before="0" w:after="0" w:line="276" w:lineRule="auto"/>
        <w:ind w:left="0" w:firstLine="0"/>
        <w:jc w:val="left"/>
        <w:rPr>
          <w:rFonts w:ascii="Calibri" w:hAnsi="Calibri"/>
          <w:sz w:val="22"/>
          <w:szCs w:val="22"/>
          <w:u w:val="single"/>
        </w:rPr>
      </w:pPr>
      <w:r w:rsidRPr="00726CEC">
        <w:rPr>
          <w:rFonts w:ascii="Calibri" w:hAnsi="Calibri"/>
          <w:sz w:val="22"/>
          <w:szCs w:val="22"/>
          <w:u w:val="single"/>
        </w:rPr>
        <w:t>Niwelacja terenu</w:t>
      </w:r>
    </w:p>
    <w:p w14:paraId="5D383780" w14:textId="29DF4981" w:rsidR="00726CEC" w:rsidRDefault="00726CEC" w:rsidP="00941EC8">
      <w:pPr>
        <w:widowControl w:val="0"/>
        <w:autoSpaceDE w:val="0"/>
        <w:autoSpaceDN w:val="0"/>
        <w:adjustRightInd w:val="0"/>
        <w:spacing w:before="0" w:after="0" w:line="276" w:lineRule="auto"/>
        <w:ind w:left="0" w:firstLine="0"/>
        <w:rPr>
          <w:rFonts w:ascii="Calibri" w:hAnsi="Calibri"/>
          <w:sz w:val="22"/>
          <w:szCs w:val="22"/>
        </w:rPr>
      </w:pPr>
      <w:r w:rsidRPr="00726CEC">
        <w:rPr>
          <w:rFonts w:ascii="Calibri" w:hAnsi="Calibri"/>
          <w:sz w:val="22"/>
          <w:szCs w:val="22"/>
        </w:rPr>
        <w:t>Teren stacji zniwelować i uporządkować z wykorzystaniem warstwy humusu zdjętego z terenu przeznaczonego pod drogi i fundamenty. W razie konieczności należy przewidzieć uzupełnienie dodatkową warstwą ziemi. Na terenach nieutwardzonych zastosować rośliny niskopienne (mchy, porosty itp.) uniemożliwiające wyrastanie trawy.</w:t>
      </w:r>
    </w:p>
    <w:p w14:paraId="76139474" w14:textId="77777777" w:rsidR="00726CEC" w:rsidRPr="00726CEC" w:rsidRDefault="00726CEC" w:rsidP="00726CEC">
      <w:pPr>
        <w:widowControl w:val="0"/>
        <w:autoSpaceDE w:val="0"/>
        <w:autoSpaceDN w:val="0"/>
        <w:adjustRightInd w:val="0"/>
        <w:spacing w:before="0" w:after="0" w:line="276" w:lineRule="auto"/>
        <w:ind w:left="0" w:firstLine="0"/>
        <w:rPr>
          <w:rFonts w:ascii="Calibri" w:hAnsi="Calibri"/>
          <w:b/>
          <w:sz w:val="22"/>
          <w:szCs w:val="22"/>
        </w:rPr>
      </w:pPr>
    </w:p>
    <w:p w14:paraId="19F9E647" w14:textId="77777777" w:rsidR="00726CEC" w:rsidRPr="00726CEC" w:rsidRDefault="00726CEC" w:rsidP="00726CEC">
      <w:pPr>
        <w:pStyle w:val="Nagwek2"/>
      </w:pPr>
      <w:bookmarkStart w:id="134" w:name="_Toc198028132"/>
      <w:bookmarkStart w:id="135" w:name="_Toc216678526"/>
      <w:r w:rsidRPr="00726CEC">
        <w:t>Budynek stacyjny</w:t>
      </w:r>
      <w:bookmarkEnd w:id="134"/>
      <w:bookmarkEnd w:id="135"/>
    </w:p>
    <w:p w14:paraId="296B7394" w14:textId="77777777" w:rsidR="00C97A83" w:rsidRPr="00C97A83" w:rsidRDefault="00C97A83" w:rsidP="00C97A83">
      <w:pPr>
        <w:widowControl w:val="0"/>
        <w:autoSpaceDE w:val="0"/>
        <w:autoSpaceDN w:val="0"/>
        <w:adjustRightInd w:val="0"/>
        <w:spacing w:before="0" w:after="0" w:line="276" w:lineRule="auto"/>
        <w:ind w:left="0" w:firstLine="0"/>
        <w:rPr>
          <w:rFonts w:ascii="Calibri" w:hAnsi="Calibri"/>
          <w:sz w:val="22"/>
          <w:szCs w:val="22"/>
        </w:rPr>
      </w:pPr>
      <w:r w:rsidRPr="00C97A83">
        <w:rPr>
          <w:rFonts w:ascii="Calibri" w:hAnsi="Calibri"/>
          <w:sz w:val="22"/>
          <w:szCs w:val="22"/>
        </w:rPr>
        <w:t xml:space="preserve">Nowy budynek stacyjny powinien zostać wykonany jako murowany (metodą tradycyjną lub szkieletowy) lub prefabrykowany. Funkcja budynku powinna uwzględniać zainstalowanie nastawni, komór transformatorów potrzeb własnych, akumulatorni, łączność, sprzętu BHP oraz węzła sanitarnego. Ze względu na usytuowanie stacji i budynku w pobliżu sąsiadującej rzeki, należy zastosować konstrukcję zabezpieczającą przed zalaniem urządzeń w budynku, a zwłaszcza przyszłej kablowni </w:t>
      </w:r>
    </w:p>
    <w:p w14:paraId="05ACD05C" w14:textId="1A3DCF48" w:rsidR="00726CEC" w:rsidRDefault="00C97A83" w:rsidP="00C97A83">
      <w:pPr>
        <w:widowControl w:val="0"/>
        <w:autoSpaceDE w:val="0"/>
        <w:autoSpaceDN w:val="0"/>
        <w:adjustRightInd w:val="0"/>
        <w:spacing w:before="0" w:after="0" w:line="276" w:lineRule="auto"/>
        <w:ind w:left="0" w:firstLine="0"/>
        <w:rPr>
          <w:rFonts w:ascii="Calibri" w:hAnsi="Calibri"/>
          <w:sz w:val="22"/>
          <w:szCs w:val="22"/>
        </w:rPr>
      </w:pPr>
      <w:r w:rsidRPr="00C97A83">
        <w:rPr>
          <w:rFonts w:ascii="Calibri" w:hAnsi="Calibri"/>
          <w:sz w:val="22"/>
          <w:szCs w:val="22"/>
        </w:rPr>
        <w:lastRenderedPageBreak/>
        <w:t xml:space="preserve">Przy wykonywaniu przedmiotu zamówienia należy kierować się zasadami opisanymi w obowiązujących przepisach i normach oraz w Wytycznych do budowy systemów elektroenergetycznych obowiązujących w PGE Dystrybucja S.A. </w:t>
      </w:r>
      <w:r w:rsidR="00726CEC" w:rsidRPr="00726CEC">
        <w:rPr>
          <w:rFonts w:ascii="Calibri" w:hAnsi="Calibri"/>
          <w:sz w:val="22"/>
          <w:szCs w:val="22"/>
        </w:rPr>
        <w:t xml:space="preserve"> </w:t>
      </w:r>
    </w:p>
    <w:p w14:paraId="226BCE49" w14:textId="77777777" w:rsidR="00C11CF4" w:rsidRPr="00726CEC" w:rsidRDefault="00C11CF4" w:rsidP="00941EC8">
      <w:pPr>
        <w:widowControl w:val="0"/>
        <w:autoSpaceDE w:val="0"/>
        <w:autoSpaceDN w:val="0"/>
        <w:adjustRightInd w:val="0"/>
        <w:spacing w:before="0" w:after="0" w:line="276" w:lineRule="auto"/>
        <w:ind w:left="0" w:firstLine="0"/>
        <w:rPr>
          <w:rFonts w:ascii="Calibri" w:hAnsi="Calibri"/>
          <w:sz w:val="22"/>
          <w:szCs w:val="22"/>
        </w:rPr>
      </w:pPr>
    </w:p>
    <w:p w14:paraId="3A31B9A8" w14:textId="629FD575" w:rsidR="002B0E2E" w:rsidRPr="002B0E2E" w:rsidRDefault="002B0E2E" w:rsidP="002B0E2E">
      <w:pPr>
        <w:pStyle w:val="Nagwek2"/>
      </w:pPr>
      <w:bookmarkStart w:id="136" w:name="_Toc216678527"/>
      <w:r w:rsidRPr="002B0E2E">
        <w:t>Wymagania dotyczące budowy linii kablow</w:t>
      </w:r>
      <w:r>
        <w:t>ych 110kV</w:t>
      </w:r>
      <w:bookmarkEnd w:id="136"/>
      <w:r w:rsidRPr="002B0E2E">
        <w:t xml:space="preserve"> </w:t>
      </w:r>
    </w:p>
    <w:p w14:paraId="6ABB7980" w14:textId="77777777" w:rsidR="00C97A83" w:rsidRPr="00DF779F" w:rsidRDefault="00C97A83" w:rsidP="00C97A83">
      <w:pPr>
        <w:widowControl w:val="0"/>
        <w:autoSpaceDE w:val="0"/>
        <w:autoSpaceDN w:val="0"/>
        <w:adjustRightInd w:val="0"/>
        <w:spacing w:before="0" w:after="0"/>
        <w:ind w:left="0" w:firstLine="0"/>
        <w:rPr>
          <w:rFonts w:asciiTheme="minorHAnsi" w:hAnsiTheme="minorHAnsi" w:cstheme="minorHAnsi"/>
          <w:b/>
          <w:bCs/>
          <w:sz w:val="22"/>
          <w:szCs w:val="22"/>
          <w:u w:val="single"/>
        </w:rPr>
      </w:pPr>
      <w:r w:rsidRPr="00DF779F">
        <w:rPr>
          <w:rFonts w:asciiTheme="minorHAnsi" w:hAnsiTheme="minorHAnsi" w:cstheme="minorHAnsi"/>
          <w:b/>
          <w:bCs/>
          <w:sz w:val="22"/>
          <w:szCs w:val="22"/>
          <w:u w:val="single"/>
        </w:rPr>
        <w:t>Wymagania ogólne.</w:t>
      </w:r>
    </w:p>
    <w:p w14:paraId="35311E15" w14:textId="77777777" w:rsidR="00C97A83" w:rsidRPr="00DF779F" w:rsidRDefault="00C97A83" w:rsidP="00C97A83">
      <w:pPr>
        <w:widowControl w:val="0"/>
        <w:autoSpaceDE w:val="0"/>
        <w:autoSpaceDN w:val="0"/>
        <w:adjustRightInd w:val="0"/>
        <w:spacing w:before="0" w:after="0"/>
        <w:ind w:left="0" w:firstLine="340"/>
        <w:rPr>
          <w:rFonts w:asciiTheme="minorHAnsi" w:hAnsiTheme="minorHAnsi" w:cstheme="minorHAnsi"/>
          <w:sz w:val="22"/>
          <w:szCs w:val="22"/>
        </w:rPr>
      </w:pPr>
      <w:r w:rsidRPr="00DF779F">
        <w:rPr>
          <w:rFonts w:asciiTheme="minorHAnsi" w:hAnsiTheme="minorHAnsi" w:cstheme="minorHAnsi"/>
          <w:sz w:val="22"/>
          <w:szCs w:val="22"/>
        </w:rPr>
        <w:t xml:space="preserve">Linie kablowe 110kV mają zostać zaprojektowane w oparciu o „Wytyczne projektowania linii kablowych 110kV” wydawnictwo </w:t>
      </w:r>
      <w:proofErr w:type="spellStart"/>
      <w:r w:rsidRPr="00DF779F">
        <w:rPr>
          <w:rFonts w:asciiTheme="minorHAnsi" w:hAnsiTheme="minorHAnsi" w:cstheme="minorHAnsi"/>
          <w:sz w:val="22"/>
          <w:szCs w:val="22"/>
        </w:rPr>
        <w:t>PTPiREE</w:t>
      </w:r>
      <w:proofErr w:type="spellEnd"/>
      <w:r w:rsidRPr="00DF779F">
        <w:rPr>
          <w:rFonts w:asciiTheme="minorHAnsi" w:hAnsiTheme="minorHAnsi" w:cstheme="minorHAnsi"/>
          <w:sz w:val="22"/>
          <w:szCs w:val="22"/>
        </w:rPr>
        <w:t>, Poznań 2019 r., wykonana zgodnie Wytycznymi do Budowy Systemów Elektroenergetycznych w PGE Dystrybucja SA. Tom 1A Linie kablowe 110kV oraz z normą N-SEP:004:</w:t>
      </w:r>
    </w:p>
    <w:p w14:paraId="385BEBC3"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Kable należy prowadzić w wykopach otwartych lub w rurach przepustowych.</w:t>
      </w:r>
    </w:p>
    <w:p w14:paraId="39707367"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Do budowy linii kablowych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należy stosować kable o izolacji roboczej z polietylenu usieciowanego XLPE, z żyłami roboczymi RMS (</w:t>
      </w:r>
      <w:proofErr w:type="spellStart"/>
      <w:r w:rsidRPr="00DF779F">
        <w:rPr>
          <w:rFonts w:asciiTheme="minorHAnsi" w:hAnsiTheme="minorHAnsi" w:cstheme="minorHAnsi"/>
          <w:sz w:val="22"/>
          <w:szCs w:val="22"/>
        </w:rPr>
        <w:t>Milliken</w:t>
      </w:r>
      <w:proofErr w:type="spellEnd"/>
      <w:r w:rsidRPr="00DF779F">
        <w:rPr>
          <w:rFonts w:asciiTheme="minorHAnsi" w:hAnsiTheme="minorHAnsi" w:cstheme="minorHAnsi"/>
          <w:sz w:val="22"/>
          <w:szCs w:val="22"/>
        </w:rPr>
        <w:t>) i powrotnymi miedzianymi o przekrojach nie mniejszych niż odpowiednio 800 mm</w:t>
      </w:r>
      <w:r w:rsidRPr="00DF779F">
        <w:rPr>
          <w:rFonts w:asciiTheme="minorHAnsi" w:hAnsiTheme="minorHAnsi" w:cstheme="minorHAnsi"/>
          <w:sz w:val="22"/>
          <w:szCs w:val="22"/>
          <w:vertAlign w:val="superscript"/>
        </w:rPr>
        <w:t>2</w:t>
      </w:r>
      <w:r w:rsidRPr="00DF779F">
        <w:rPr>
          <w:rFonts w:asciiTheme="minorHAnsi" w:hAnsiTheme="minorHAnsi" w:cstheme="minorHAnsi"/>
          <w:sz w:val="22"/>
          <w:szCs w:val="22"/>
        </w:rPr>
        <w:t xml:space="preserve"> i 95 mm</w:t>
      </w:r>
      <w:r w:rsidRPr="00DF779F">
        <w:rPr>
          <w:rFonts w:asciiTheme="minorHAnsi" w:hAnsiTheme="minorHAnsi" w:cstheme="minorHAnsi"/>
          <w:sz w:val="22"/>
          <w:szCs w:val="22"/>
          <w:vertAlign w:val="superscript"/>
        </w:rPr>
        <w:t>2</w:t>
      </w:r>
      <w:r w:rsidRPr="00DF779F">
        <w:rPr>
          <w:rFonts w:asciiTheme="minorHAnsi" w:hAnsiTheme="minorHAnsi" w:cstheme="minorHAnsi"/>
          <w:sz w:val="22"/>
          <w:szCs w:val="22"/>
        </w:rPr>
        <w:t xml:space="preserve"> (w uzasadnionych przypadkach dopuszcza się stosowanie żył o konstrukcji RM (RMC)), z uszczelnieniem wzdłużnym i promieniowym (R) oraz z uszczelnieniem wzdłużnym żyły roboczej (WTC) i wzdłużnym w otoczeniu żyły powrotnej (U). Kabel i osprzęt kablowy stanowiący system kablowy o napięciu </w:t>
      </w:r>
      <w:proofErr w:type="spellStart"/>
      <w:r w:rsidRPr="00DF779F">
        <w:rPr>
          <w:rFonts w:asciiTheme="minorHAnsi" w:hAnsiTheme="minorHAnsi" w:cstheme="minorHAnsi"/>
          <w:sz w:val="22"/>
          <w:szCs w:val="22"/>
        </w:rPr>
        <w:t>Uo</w:t>
      </w:r>
      <w:proofErr w:type="spellEnd"/>
      <w:r w:rsidRPr="00DF779F">
        <w:rPr>
          <w:rFonts w:asciiTheme="minorHAnsi" w:hAnsiTheme="minorHAnsi" w:cstheme="minorHAnsi"/>
          <w:sz w:val="22"/>
          <w:szCs w:val="22"/>
        </w:rPr>
        <w:t xml:space="preserve"> = 64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Un</w:t>
      </w:r>
      <w:proofErr w:type="spellEnd"/>
      <w:r w:rsidRPr="00DF779F">
        <w:rPr>
          <w:rFonts w:asciiTheme="minorHAnsi" w:hAnsiTheme="minorHAnsi" w:cstheme="minorHAnsi"/>
          <w:sz w:val="22"/>
          <w:szCs w:val="22"/>
        </w:rPr>
        <w:t xml:space="preserve"> = 110 ÷ 115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Um</w:t>
      </w:r>
      <w:proofErr w:type="spellEnd"/>
      <w:r w:rsidRPr="00DF779F">
        <w:rPr>
          <w:rFonts w:asciiTheme="minorHAnsi" w:hAnsiTheme="minorHAnsi" w:cstheme="minorHAnsi"/>
          <w:sz w:val="22"/>
          <w:szCs w:val="22"/>
        </w:rPr>
        <w:t xml:space="preserve"> = 123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2A080EE9"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Kabel powinien być wyposażony w min. 2 tuby światłowodowe po 2 włókna w każdej przeznaczone do systemów monitoringu systemu DTS (Distributed </w:t>
      </w:r>
      <w:proofErr w:type="spellStart"/>
      <w:r w:rsidRPr="00DF779F">
        <w:rPr>
          <w:rFonts w:asciiTheme="minorHAnsi" w:hAnsiTheme="minorHAnsi" w:cstheme="minorHAnsi"/>
          <w:sz w:val="22"/>
          <w:szCs w:val="22"/>
        </w:rPr>
        <w:t>Temperature</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Sensing</w:t>
      </w:r>
      <w:proofErr w:type="spellEnd"/>
      <w:r w:rsidRPr="00DF779F">
        <w:rPr>
          <w:rFonts w:asciiTheme="minorHAnsi" w:hAnsiTheme="minorHAnsi" w:cstheme="minorHAnsi"/>
          <w:sz w:val="22"/>
          <w:szCs w:val="22"/>
        </w:rPr>
        <w:t>) z możliwością analizy rozkładu temperatur na całej jego długości;</w:t>
      </w:r>
    </w:p>
    <w:p w14:paraId="1230C7FB"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Osprzęt służący do zakańczania lub łączenia kabla:</w:t>
      </w:r>
    </w:p>
    <w:p w14:paraId="747498A9" w14:textId="77777777" w:rsidR="00C97A83" w:rsidRPr="00DF779F" w:rsidRDefault="00C97A83" w:rsidP="00B628F4">
      <w:pPr>
        <w:widowControl w:val="0"/>
        <w:numPr>
          <w:ilvl w:val="1"/>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głowice kablowe w wykonaniu napowietrznym - samonośne kompozytowe w technologii suchej lub z zalewą. Głowice powinny być wyposażone w moduł optyczny umożliwiającym wpięcie włókien światłowodowych do monitoringu temperatury kabla,</w:t>
      </w:r>
    </w:p>
    <w:p w14:paraId="1164FE17" w14:textId="77777777" w:rsidR="00C97A83" w:rsidRPr="00DF779F" w:rsidRDefault="00C97A83" w:rsidP="00B628F4">
      <w:pPr>
        <w:widowControl w:val="0"/>
        <w:numPr>
          <w:ilvl w:val="1"/>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mufy kablowe - </w:t>
      </w:r>
      <w:proofErr w:type="spellStart"/>
      <w:r w:rsidRPr="00DF779F">
        <w:rPr>
          <w:rFonts w:asciiTheme="minorHAnsi" w:hAnsiTheme="minorHAnsi" w:cstheme="minorHAnsi"/>
          <w:sz w:val="22"/>
          <w:szCs w:val="22"/>
        </w:rPr>
        <w:t>Crossbondingowe</w:t>
      </w:r>
      <w:proofErr w:type="spellEnd"/>
      <w:r w:rsidRPr="00DF779F">
        <w:rPr>
          <w:rFonts w:asciiTheme="minorHAnsi" w:hAnsiTheme="minorHAnsi" w:cstheme="minorHAnsi"/>
          <w:sz w:val="22"/>
          <w:szCs w:val="22"/>
        </w:rPr>
        <w:t xml:space="preserve"> (jeżeli wymagane) lub uziemiające,</w:t>
      </w:r>
    </w:p>
    <w:p w14:paraId="6A748588" w14:textId="77777777" w:rsidR="00C97A83" w:rsidRPr="00DF779F" w:rsidRDefault="00C97A83" w:rsidP="00B628F4">
      <w:pPr>
        <w:widowControl w:val="0"/>
        <w:numPr>
          <w:ilvl w:val="1"/>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wszystkie typy muf powinny posiadać moduł optyczny umożliwiającym wpięcie włókien światłowodowych do monitoringu temperatury kabla DTS.</w:t>
      </w:r>
    </w:p>
    <w:p w14:paraId="13338FB2"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Skrzynki Cross-</w:t>
      </w:r>
      <w:proofErr w:type="spellStart"/>
      <w:r w:rsidRPr="00DF779F">
        <w:rPr>
          <w:rFonts w:asciiTheme="minorHAnsi" w:hAnsiTheme="minorHAnsi" w:cstheme="minorHAnsi"/>
          <w:sz w:val="22"/>
          <w:szCs w:val="22"/>
        </w:rPr>
        <w:t>bondingowe</w:t>
      </w:r>
      <w:proofErr w:type="spellEnd"/>
      <w:r w:rsidRPr="00DF779F">
        <w:rPr>
          <w:rFonts w:asciiTheme="minorHAnsi" w:hAnsiTheme="minorHAnsi" w:cstheme="minorHAnsi"/>
          <w:sz w:val="22"/>
          <w:szCs w:val="22"/>
        </w:rPr>
        <w:t xml:space="preserve"> (jeżeli wymagane), </w:t>
      </w:r>
      <w:proofErr w:type="spellStart"/>
      <w:r w:rsidRPr="00DF779F">
        <w:rPr>
          <w:rFonts w:asciiTheme="minorHAnsi" w:hAnsiTheme="minorHAnsi" w:cstheme="minorHAnsi"/>
          <w:sz w:val="22"/>
          <w:szCs w:val="22"/>
        </w:rPr>
        <w:t>uziemieniowe</w:t>
      </w:r>
      <w:proofErr w:type="spellEnd"/>
      <w:r w:rsidRPr="00DF779F">
        <w:rPr>
          <w:rFonts w:asciiTheme="minorHAnsi" w:hAnsiTheme="minorHAnsi" w:cstheme="minorHAnsi"/>
          <w:sz w:val="22"/>
          <w:szCs w:val="22"/>
        </w:rPr>
        <w:t xml:space="preserve"> i uziemiające - należy zastosować osprzęt pozwalający na łączenie włókien DTS oraz ich wyprowadzanie z linii;</w:t>
      </w:r>
    </w:p>
    <w:p w14:paraId="3C1C589C"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 trasie linii kablowej nie mogą występować przekroczenia dopuszczalnych wartości pola elektromagnetycznego emitowanego przez kable;</w:t>
      </w:r>
    </w:p>
    <w:p w14:paraId="26803450"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Wyposażyć stację w urządzenia systemu DTS (Distributed </w:t>
      </w:r>
      <w:proofErr w:type="spellStart"/>
      <w:r w:rsidRPr="00DF779F">
        <w:rPr>
          <w:rFonts w:asciiTheme="minorHAnsi" w:hAnsiTheme="minorHAnsi" w:cstheme="minorHAnsi"/>
          <w:sz w:val="22"/>
          <w:szCs w:val="22"/>
        </w:rPr>
        <w:t>Temperature</w:t>
      </w:r>
      <w:proofErr w:type="spellEnd"/>
      <w:r w:rsidRPr="00DF779F">
        <w:rPr>
          <w:rFonts w:asciiTheme="minorHAnsi" w:hAnsiTheme="minorHAnsi" w:cstheme="minorHAnsi"/>
          <w:sz w:val="22"/>
          <w:szCs w:val="22"/>
        </w:rPr>
        <w:t xml:space="preserve"> </w:t>
      </w:r>
      <w:proofErr w:type="spellStart"/>
      <w:r w:rsidRPr="00DF779F">
        <w:rPr>
          <w:rFonts w:asciiTheme="minorHAnsi" w:hAnsiTheme="minorHAnsi" w:cstheme="minorHAnsi"/>
          <w:sz w:val="22"/>
          <w:szCs w:val="22"/>
        </w:rPr>
        <w:t>Sensing</w:t>
      </w:r>
      <w:proofErr w:type="spellEnd"/>
      <w:r w:rsidRPr="00DF779F">
        <w:rPr>
          <w:rFonts w:asciiTheme="minorHAnsi" w:hAnsiTheme="minorHAnsi" w:cstheme="minorHAnsi"/>
          <w:sz w:val="22"/>
          <w:szCs w:val="22"/>
        </w:rPr>
        <w:t>) – rozmieszczenie urządzeń uzgodnić na roboczo z Wykonawcą projektu stacji (odrębne opracowanie);</w:t>
      </w:r>
    </w:p>
    <w:p w14:paraId="1F639A29"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Zakończenie kabla z ochroną przepięciową;</w:t>
      </w:r>
    </w:p>
    <w:p w14:paraId="4B1DDA1B"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Wzdłuż każdej linii kablowej należy równolegle wykonać kanalizację światłowodową. Realizacja kanalizacji z wykorzystaniem min. dwóch rur HDPE o średnicy min. ø 32 mm, kanalizację światłowodową należy wykonać zgodnie z obowiązującymi przepisami;</w:t>
      </w:r>
    </w:p>
    <w:p w14:paraId="53451506"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Kable i osprzęt kablowy 110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wchodzące w skład systemu kablowego powinny być fabrycznie nowe oraz powinny posiadać certyfikaty/protokoły wykonania badania typu poszczególnych elementów zgodnie z normą PN-HD 632 S2: 2009 lub IEC 60840:2011;</w:t>
      </w:r>
    </w:p>
    <w:p w14:paraId="1C447181"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Pomiary </w:t>
      </w:r>
      <w:proofErr w:type="spellStart"/>
      <w:r w:rsidRPr="00DF779F">
        <w:rPr>
          <w:rFonts w:asciiTheme="minorHAnsi" w:hAnsiTheme="minorHAnsi" w:cstheme="minorHAnsi"/>
          <w:sz w:val="22"/>
          <w:szCs w:val="22"/>
        </w:rPr>
        <w:t>pomontażowe</w:t>
      </w:r>
      <w:proofErr w:type="spellEnd"/>
      <w:r w:rsidRPr="00DF779F">
        <w:rPr>
          <w:rFonts w:asciiTheme="minorHAnsi" w:hAnsiTheme="minorHAnsi" w:cstheme="minorHAnsi"/>
          <w:sz w:val="22"/>
          <w:szCs w:val="22"/>
        </w:rPr>
        <w:t xml:space="preserve"> w oparciu o „Ramową instrukcją Eksploatacji Linii Kablowych”, wydawnictwo </w:t>
      </w:r>
      <w:proofErr w:type="spellStart"/>
      <w:r w:rsidRPr="00DF779F">
        <w:rPr>
          <w:rFonts w:asciiTheme="minorHAnsi" w:hAnsiTheme="minorHAnsi" w:cstheme="minorHAnsi"/>
          <w:sz w:val="22"/>
          <w:szCs w:val="22"/>
        </w:rPr>
        <w:t>PTPiREE</w:t>
      </w:r>
      <w:proofErr w:type="spellEnd"/>
      <w:r w:rsidRPr="00DF779F">
        <w:rPr>
          <w:rFonts w:asciiTheme="minorHAnsi" w:hAnsiTheme="minorHAnsi" w:cstheme="minorHAnsi"/>
          <w:sz w:val="22"/>
          <w:szCs w:val="22"/>
        </w:rPr>
        <w:t>, maj 2011;</w:t>
      </w:r>
    </w:p>
    <w:p w14:paraId="08C3320A"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Kable ułożone w ziemi powinny być zaopatrzone na całej długości w trwałe oznaczniki rozmieszczone w odstępach nie większych niż 10m i w miejscach skrzyżowania z istniejącym uzbrojeniem podziemnym terenu i przy wejściu do rur pod drogami. Na oznaczniku należy umieścić trwałe napisy zawierające, co</w:t>
      </w:r>
      <w:r>
        <w:rPr>
          <w:rFonts w:asciiTheme="minorHAnsi" w:hAnsiTheme="minorHAnsi" w:cstheme="minorHAnsi"/>
          <w:sz w:val="22"/>
          <w:szCs w:val="22"/>
        </w:rPr>
        <w:t> </w:t>
      </w:r>
      <w:r w:rsidRPr="00DF779F">
        <w:rPr>
          <w:rFonts w:asciiTheme="minorHAnsi" w:hAnsiTheme="minorHAnsi" w:cstheme="minorHAnsi"/>
          <w:sz w:val="22"/>
          <w:szCs w:val="22"/>
        </w:rPr>
        <w:t>najmniej: symbol i numer ewidencyjny kabla, oznaczenie relacji kabla, nazwa lub znak użytkownika, rok ułożenia kabla i nazwa wykonawcy linii kablowej.</w:t>
      </w:r>
    </w:p>
    <w:p w14:paraId="43636ABF" w14:textId="77777777" w:rsidR="00C97A83" w:rsidRPr="00DF779F" w:rsidRDefault="00C97A83" w:rsidP="00B628F4">
      <w:pPr>
        <w:widowControl w:val="0"/>
        <w:numPr>
          <w:ilvl w:val="0"/>
          <w:numId w:val="63"/>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Trasa kabli ułożonych w ziemi powinna być na całej długości i szerokości oznaczona folią lub siatką z tworzywa sztucznego koloru czerwonego. Folia powinna mieć grubość, co najmniej 0,5mm. Szerokość </w:t>
      </w:r>
      <w:r w:rsidRPr="00DF779F">
        <w:rPr>
          <w:rFonts w:asciiTheme="minorHAnsi" w:hAnsiTheme="minorHAnsi" w:cstheme="minorHAnsi"/>
          <w:sz w:val="22"/>
          <w:szCs w:val="22"/>
        </w:rPr>
        <w:lastRenderedPageBreak/>
        <w:t>folii lub siatki powinna być taka, aby przykrywała ułożone kable. Krawędzie pasa folii powinny sięgać, co najmniej do zewnętrznych krawędzi skrajnych kabli, a w przypadku, gdy szerokość rowu kablowego jest większa niż szerokość trasy ułożonych kabli, krawędzie pasa folii powinny wystawać poza krawędzie skrajnych kabli równomiernie po obu stronach.</w:t>
      </w:r>
    </w:p>
    <w:p w14:paraId="5802F54E" w14:textId="77777777" w:rsidR="00C97A83" w:rsidRPr="00DF779F" w:rsidRDefault="00C97A83" w:rsidP="00C97A83">
      <w:pPr>
        <w:widowControl w:val="0"/>
        <w:autoSpaceDE w:val="0"/>
        <w:autoSpaceDN w:val="0"/>
        <w:adjustRightInd w:val="0"/>
        <w:spacing w:before="0" w:after="0"/>
        <w:ind w:left="360" w:firstLine="0"/>
        <w:contextualSpacing/>
        <w:jc w:val="left"/>
        <w:rPr>
          <w:rFonts w:asciiTheme="minorHAnsi" w:hAnsiTheme="minorHAnsi" w:cstheme="minorHAnsi"/>
          <w:sz w:val="22"/>
          <w:szCs w:val="22"/>
        </w:rPr>
      </w:pPr>
    </w:p>
    <w:p w14:paraId="04899BF6" w14:textId="77777777" w:rsidR="00C97A83" w:rsidRPr="00DF779F" w:rsidRDefault="00C97A83" w:rsidP="00C97A83">
      <w:pPr>
        <w:widowControl w:val="0"/>
        <w:autoSpaceDE w:val="0"/>
        <w:autoSpaceDN w:val="0"/>
        <w:adjustRightInd w:val="0"/>
        <w:spacing w:before="0" w:after="0"/>
        <w:ind w:left="0" w:firstLine="0"/>
        <w:rPr>
          <w:rFonts w:asciiTheme="minorHAnsi" w:hAnsiTheme="minorHAnsi" w:cstheme="minorHAnsi"/>
          <w:b/>
          <w:bCs/>
          <w:sz w:val="22"/>
          <w:szCs w:val="22"/>
          <w:u w:val="single"/>
        </w:rPr>
      </w:pPr>
      <w:r w:rsidRPr="00DF779F">
        <w:rPr>
          <w:rFonts w:asciiTheme="minorHAnsi" w:hAnsiTheme="minorHAnsi" w:cstheme="minorHAnsi"/>
          <w:b/>
          <w:bCs/>
          <w:sz w:val="22"/>
          <w:szCs w:val="22"/>
          <w:u w:val="single"/>
        </w:rPr>
        <w:t>Budowa i parametry linii kablowej 110 </w:t>
      </w:r>
      <w:proofErr w:type="spellStart"/>
      <w:r w:rsidRPr="00DF779F">
        <w:rPr>
          <w:rFonts w:asciiTheme="minorHAnsi" w:hAnsiTheme="minorHAnsi" w:cstheme="minorHAnsi"/>
          <w:b/>
          <w:bCs/>
          <w:sz w:val="22"/>
          <w:szCs w:val="22"/>
          <w:u w:val="single"/>
        </w:rPr>
        <w:t>kV</w:t>
      </w:r>
      <w:proofErr w:type="spellEnd"/>
    </w:p>
    <w:p w14:paraId="2E30F20D"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Napięcie znamionowe U0/</w:t>
      </w:r>
      <w:proofErr w:type="spellStart"/>
      <w:r w:rsidRPr="00DF779F">
        <w:rPr>
          <w:rFonts w:asciiTheme="minorHAnsi" w:hAnsiTheme="minorHAnsi" w:cstheme="minorHAnsi"/>
          <w:sz w:val="22"/>
          <w:szCs w:val="22"/>
        </w:rPr>
        <w:t>Un</w:t>
      </w:r>
      <w:proofErr w:type="spellEnd"/>
      <w:r w:rsidRPr="00DF779F">
        <w:rPr>
          <w:rFonts w:asciiTheme="minorHAnsi" w:hAnsiTheme="minorHAnsi" w:cstheme="minorHAnsi"/>
          <w:sz w:val="22"/>
          <w:szCs w:val="22"/>
        </w:rPr>
        <w:t>/</w:t>
      </w:r>
      <w:proofErr w:type="spellStart"/>
      <w:r w:rsidRPr="00DF779F">
        <w:rPr>
          <w:rFonts w:asciiTheme="minorHAnsi" w:hAnsiTheme="minorHAnsi" w:cstheme="minorHAnsi"/>
          <w:sz w:val="22"/>
          <w:szCs w:val="22"/>
        </w:rPr>
        <w:t>Um</w:t>
      </w:r>
      <w:proofErr w:type="spellEnd"/>
      <w:r w:rsidRPr="00DF779F">
        <w:rPr>
          <w:rFonts w:asciiTheme="minorHAnsi" w:hAnsiTheme="minorHAnsi" w:cstheme="minorHAnsi"/>
          <w:sz w:val="22"/>
          <w:szCs w:val="22"/>
        </w:rPr>
        <w:t xml:space="preserve"> – 64/110/123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26C2B3B7"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Oznakowanie trwale wykonane przez producenta na powłoce kabla powinno zawierać co najmniej następujące informacje: </w:t>
      </w:r>
    </w:p>
    <w:p w14:paraId="167548E7" w14:textId="77777777" w:rsidR="00C97A83" w:rsidRPr="00DF779F" w:rsidRDefault="00C97A83" w:rsidP="00B628F4">
      <w:pPr>
        <w:widowControl w:val="0"/>
        <w:numPr>
          <w:ilvl w:val="1"/>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lang w:val="x-none" w:eastAsia="en-US"/>
        </w:rPr>
        <w:t xml:space="preserve">nazwa </w:t>
      </w:r>
      <w:r w:rsidRPr="00DF779F">
        <w:rPr>
          <w:rFonts w:asciiTheme="minorHAnsi" w:hAnsiTheme="minorHAnsi" w:cstheme="minorHAnsi"/>
          <w:sz w:val="22"/>
          <w:szCs w:val="22"/>
        </w:rPr>
        <w:t xml:space="preserve">producenta (co 2 m), </w:t>
      </w:r>
    </w:p>
    <w:p w14:paraId="2C7A7C18" w14:textId="77777777" w:rsidR="00C97A83" w:rsidRPr="00DF779F" w:rsidRDefault="00C97A83" w:rsidP="00B628F4">
      <w:pPr>
        <w:widowControl w:val="0"/>
        <w:numPr>
          <w:ilvl w:val="1"/>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rok produkcji (co 2 m), </w:t>
      </w:r>
    </w:p>
    <w:p w14:paraId="71F764B4" w14:textId="77777777" w:rsidR="00C97A83" w:rsidRPr="00DF779F" w:rsidRDefault="00C97A83" w:rsidP="00B628F4">
      <w:pPr>
        <w:widowControl w:val="0"/>
        <w:numPr>
          <w:ilvl w:val="1"/>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oznaczenie typu kabla, napięcie, przekrój (co 2 m), </w:t>
      </w:r>
    </w:p>
    <w:p w14:paraId="3ADF523D" w14:textId="77777777" w:rsidR="00C97A83" w:rsidRPr="00DF779F" w:rsidRDefault="00C97A83" w:rsidP="00B628F4">
      <w:pPr>
        <w:widowControl w:val="0"/>
        <w:numPr>
          <w:ilvl w:val="1"/>
          <w:numId w:val="64"/>
        </w:numPr>
        <w:autoSpaceDE w:val="0"/>
        <w:autoSpaceDN w:val="0"/>
        <w:adjustRightInd w:val="0"/>
        <w:spacing w:before="0" w:after="0"/>
        <w:contextualSpacing/>
        <w:rPr>
          <w:rFonts w:asciiTheme="minorHAnsi" w:hAnsiTheme="minorHAnsi" w:cstheme="minorHAnsi"/>
          <w:sz w:val="22"/>
          <w:szCs w:val="22"/>
          <w:lang w:val="x-none" w:eastAsia="en-US"/>
        </w:rPr>
      </w:pPr>
      <w:r w:rsidRPr="00DF779F">
        <w:rPr>
          <w:rFonts w:asciiTheme="minorHAnsi" w:hAnsiTheme="minorHAnsi" w:cstheme="minorHAnsi"/>
          <w:sz w:val="22"/>
          <w:szCs w:val="22"/>
        </w:rPr>
        <w:t>znaczniki</w:t>
      </w:r>
      <w:r w:rsidRPr="00DF779F">
        <w:rPr>
          <w:rFonts w:asciiTheme="minorHAnsi" w:hAnsiTheme="minorHAnsi" w:cstheme="minorHAnsi"/>
          <w:sz w:val="22"/>
          <w:szCs w:val="22"/>
          <w:lang w:val="x-none" w:eastAsia="en-US"/>
        </w:rPr>
        <w:t xml:space="preserve"> długości (co 1 m); </w:t>
      </w:r>
    </w:p>
    <w:p w14:paraId="2462C9F3"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Najwyższa dopuszczalna długotrwale temperatura żyły roboczej i powrotnej – 90°C; </w:t>
      </w:r>
    </w:p>
    <w:p w14:paraId="7CEA364E"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Najwyższa dopuszczalna temperatura żyły roboczej podczas zwarcia – 250°C; </w:t>
      </w:r>
    </w:p>
    <w:p w14:paraId="40325608"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Najwyższa dopuszczalna długotrwale temperatura żyły powrotnej podczas zwarcia – 350°C; </w:t>
      </w:r>
    </w:p>
    <w:p w14:paraId="661B48F2"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Napięcie wytrzymywane udarowe piorunowe (10 udarów dodatnich i ujemnych w temperaturze 95-100°C) – 550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3FCA562A"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Napięcie wytrzymywane przemienne krótkotrwałe częstotliwości sieciowej – 230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50585276"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Napięcie wytrzymywane przemienne częstotliwości sieciowej (przez 15 min.) – 160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67606476"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Napięcie wytrzymywane przemienne częstotliwości sieciowej przy cyklicznym nagrzewaniu do temperatury 95-100 °C (20 całodobowych cykli) – 128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77FAFCC6"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Poziom wyładowań niezupełnych (1,5·U0) &lt; 5 </w:t>
      </w:r>
      <w:proofErr w:type="spellStart"/>
      <w:r w:rsidRPr="00DF779F">
        <w:rPr>
          <w:rFonts w:asciiTheme="minorHAnsi" w:hAnsiTheme="minorHAnsi" w:cstheme="minorHAnsi"/>
          <w:sz w:val="22"/>
          <w:szCs w:val="22"/>
        </w:rPr>
        <w:t>pC</w:t>
      </w:r>
      <w:proofErr w:type="spellEnd"/>
      <w:r w:rsidRPr="00DF779F">
        <w:rPr>
          <w:rFonts w:asciiTheme="minorHAnsi" w:hAnsiTheme="minorHAnsi" w:cstheme="minorHAnsi"/>
          <w:sz w:val="22"/>
          <w:szCs w:val="22"/>
        </w:rPr>
        <w:t xml:space="preserve">; </w:t>
      </w:r>
    </w:p>
    <w:p w14:paraId="72C02612"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 xml:space="preserve">Współczynnik strat dielektrycznych (U0 i temperatura 95-100 °C) &lt; 10·10-4; </w:t>
      </w:r>
    </w:p>
    <w:p w14:paraId="50818157"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powłoki muf (AC w czasie 1 min) – 10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134BC9BD"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powłoki muf (DC w czasie 1 min) – 20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 xml:space="preserve">; </w:t>
      </w:r>
    </w:p>
    <w:p w14:paraId="5D87170C"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powłoki muf (napięcie udarowe – 10 udarów dodatnich i ujemnych) – 30kV;</w:t>
      </w:r>
    </w:p>
    <w:p w14:paraId="228C1AD3"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Rezystancja przerwy ekranu muf &gt; 100 MΩ;</w:t>
      </w:r>
    </w:p>
    <w:p w14:paraId="73EDE6F8"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przerwy ekranu muf (AC w czasie 1 min) – 20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08C29B87"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przerwy ekranu muf (DC w czasie 1 min) – 20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2CD53F05"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Wytrzymałość przerwy ekranu muf (napięcie udarowe – 10 udarów dodatnich i ujemnych) – 60 </w:t>
      </w:r>
      <w:proofErr w:type="spellStart"/>
      <w:r w:rsidRPr="00DF779F">
        <w:rPr>
          <w:rFonts w:asciiTheme="minorHAnsi" w:hAnsiTheme="minorHAnsi" w:cstheme="minorHAnsi"/>
          <w:sz w:val="22"/>
          <w:szCs w:val="22"/>
        </w:rPr>
        <w:t>kV</w:t>
      </w:r>
      <w:proofErr w:type="spellEnd"/>
      <w:r w:rsidRPr="00DF779F">
        <w:rPr>
          <w:rFonts w:asciiTheme="minorHAnsi" w:hAnsiTheme="minorHAnsi" w:cstheme="minorHAnsi"/>
          <w:sz w:val="22"/>
          <w:szCs w:val="22"/>
        </w:rPr>
        <w:t>;</w:t>
      </w:r>
    </w:p>
    <w:p w14:paraId="0BDF6668"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Dopuszczalne naprężenia żył miedzianych – 60 N/mm</w:t>
      </w:r>
      <w:r w:rsidRPr="00E66199">
        <w:rPr>
          <w:rFonts w:asciiTheme="minorHAnsi" w:hAnsiTheme="minorHAnsi" w:cstheme="minorHAnsi"/>
          <w:sz w:val="22"/>
          <w:szCs w:val="22"/>
          <w:vertAlign w:val="superscript"/>
        </w:rPr>
        <w:t>2</w:t>
      </w:r>
      <w:r w:rsidRPr="00DF779F">
        <w:rPr>
          <w:rFonts w:asciiTheme="minorHAnsi" w:hAnsiTheme="minorHAnsi" w:cstheme="minorHAnsi"/>
          <w:sz w:val="22"/>
          <w:szCs w:val="22"/>
        </w:rPr>
        <w:t>;</w:t>
      </w:r>
    </w:p>
    <w:p w14:paraId="1468511E" w14:textId="77777777" w:rsidR="00C97A83" w:rsidRPr="00DF779F" w:rsidRDefault="00C97A83" w:rsidP="00B628F4">
      <w:pPr>
        <w:widowControl w:val="0"/>
        <w:numPr>
          <w:ilvl w:val="0"/>
          <w:numId w:val="64"/>
        </w:numPr>
        <w:autoSpaceDE w:val="0"/>
        <w:autoSpaceDN w:val="0"/>
        <w:adjustRightInd w:val="0"/>
        <w:spacing w:before="0" w:after="0"/>
        <w:contextualSpacing/>
        <w:rPr>
          <w:rFonts w:asciiTheme="minorHAnsi" w:hAnsiTheme="minorHAnsi" w:cstheme="minorHAnsi"/>
          <w:sz w:val="22"/>
          <w:szCs w:val="22"/>
        </w:rPr>
      </w:pPr>
      <w:r w:rsidRPr="00DF779F">
        <w:rPr>
          <w:rFonts w:asciiTheme="minorHAnsi" w:hAnsiTheme="minorHAnsi" w:cstheme="minorHAnsi"/>
          <w:sz w:val="22"/>
          <w:szCs w:val="22"/>
        </w:rPr>
        <w:t>Dwie tuby światłowodowe z włóknami wielomodowymi (dla DTS) każde włókno z powłoką innego koloru.</w:t>
      </w:r>
    </w:p>
    <w:p w14:paraId="0A32A82A" w14:textId="46F89567" w:rsidR="00C11CF4" w:rsidRDefault="00C11CF4" w:rsidP="00307965">
      <w:pPr>
        <w:pStyle w:val="bezpunkw"/>
        <w:spacing w:before="0" w:after="0"/>
        <w:ind w:left="720" w:firstLine="0"/>
        <w:rPr>
          <w:rFonts w:cstheme="minorHAnsi"/>
        </w:rPr>
      </w:pPr>
    </w:p>
    <w:p w14:paraId="75770085" w14:textId="77777777" w:rsidR="00C11CF4" w:rsidRPr="005F6FAE" w:rsidRDefault="00C11CF4" w:rsidP="00307965">
      <w:pPr>
        <w:pStyle w:val="bezpunkw"/>
        <w:spacing w:before="0" w:after="0"/>
        <w:ind w:left="720" w:firstLine="0"/>
        <w:rPr>
          <w:rFonts w:cstheme="minorHAnsi"/>
        </w:rPr>
      </w:pPr>
    </w:p>
    <w:p w14:paraId="35476C96" w14:textId="77777777" w:rsidR="00700F8A" w:rsidRPr="005F6FAE" w:rsidRDefault="006816B2" w:rsidP="00157809">
      <w:pPr>
        <w:pStyle w:val="Nagwek1"/>
        <w:spacing w:before="120" w:after="120"/>
        <w:ind w:left="431" w:hanging="431"/>
        <w:rPr>
          <w:rFonts w:asciiTheme="minorHAnsi" w:hAnsiTheme="minorHAnsi" w:cstheme="minorHAnsi"/>
          <w:szCs w:val="22"/>
        </w:rPr>
      </w:pPr>
      <w:bookmarkStart w:id="137" w:name="_Toc216678528"/>
      <w:bookmarkEnd w:id="64"/>
      <w:bookmarkEnd w:id="65"/>
      <w:r w:rsidRPr="005F6FAE">
        <w:rPr>
          <w:rFonts w:asciiTheme="minorHAnsi" w:hAnsiTheme="minorHAnsi" w:cstheme="minorHAnsi"/>
          <w:szCs w:val="22"/>
        </w:rPr>
        <w:t>Załączniki</w:t>
      </w:r>
      <w:bookmarkEnd w:id="137"/>
    </w:p>
    <w:p w14:paraId="563184F8" w14:textId="77777777" w:rsidR="00941EC8" w:rsidRPr="00941EC8" w:rsidRDefault="00941EC8"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bookmarkStart w:id="138" w:name="_Toc216678529"/>
      <w:r w:rsidRPr="00941EC8">
        <w:rPr>
          <w:rStyle w:val="FontStyle23"/>
          <w:rFonts w:ascii="Calibri" w:hAnsi="Calibri" w:cs="Calibri"/>
          <w:b w:val="0"/>
        </w:rPr>
        <w:t xml:space="preserve">Załącznik nr 1 - Lokalizacja  stacji 110 </w:t>
      </w:r>
      <w:proofErr w:type="spellStart"/>
      <w:r w:rsidRPr="00941EC8">
        <w:rPr>
          <w:rStyle w:val="FontStyle23"/>
          <w:rFonts w:ascii="Calibri" w:hAnsi="Calibri" w:cs="Calibri"/>
          <w:b w:val="0"/>
        </w:rPr>
        <w:t>kV</w:t>
      </w:r>
      <w:proofErr w:type="spellEnd"/>
      <w:r w:rsidRPr="00941EC8">
        <w:rPr>
          <w:rStyle w:val="FontStyle23"/>
          <w:rFonts w:ascii="Calibri" w:hAnsi="Calibri" w:cs="Calibri"/>
          <w:b w:val="0"/>
        </w:rPr>
        <w:t xml:space="preserve"> CPK</w:t>
      </w:r>
      <w:r w:rsidRPr="00941EC8">
        <w:rPr>
          <w:rFonts w:ascii="Calibri" w:hAnsi="Calibri" w:cs="Calibri"/>
        </w:rPr>
        <w:t>.</w:t>
      </w:r>
      <w:bookmarkEnd w:id="138"/>
      <w:r w:rsidRPr="00941EC8">
        <w:rPr>
          <w:rFonts w:ascii="Calibri" w:hAnsi="Calibri" w:cs="Calibri"/>
        </w:rPr>
        <w:t xml:space="preserve"> </w:t>
      </w:r>
    </w:p>
    <w:p w14:paraId="44C6F649" w14:textId="77777777" w:rsidR="00941EC8" w:rsidRPr="00941EC8" w:rsidRDefault="00941EC8" w:rsidP="0044126C">
      <w:pPr>
        <w:pStyle w:val="Bezodstpw"/>
        <w:autoSpaceDE w:val="0"/>
        <w:autoSpaceDN w:val="0"/>
        <w:adjustRightInd w:val="0"/>
        <w:spacing w:before="53" w:after="0" w:line="276" w:lineRule="auto"/>
        <w:ind w:left="720" w:firstLine="0"/>
        <w:outlineLvl w:val="2"/>
        <w:rPr>
          <w:rStyle w:val="FontStyle23"/>
          <w:rFonts w:ascii="Calibri" w:hAnsi="Calibri" w:cs="Calibri"/>
          <w:b w:val="0"/>
        </w:rPr>
      </w:pPr>
      <w:bookmarkStart w:id="139" w:name="_Toc216678530"/>
      <w:r w:rsidRPr="00941EC8">
        <w:rPr>
          <w:rFonts w:ascii="Calibri" w:hAnsi="Calibri" w:cs="Calibri"/>
          <w:snapToGrid w:val="0"/>
        </w:rPr>
        <w:t>Załącznik nr 2 - Przykładowy schemat rozdzielni 110kV  stacji 110kV CPK.</w:t>
      </w:r>
      <w:bookmarkEnd w:id="139"/>
    </w:p>
    <w:p w14:paraId="1FE32058" w14:textId="02613B74" w:rsidR="00941EC8" w:rsidRPr="00941EC8" w:rsidRDefault="00941EC8" w:rsidP="0044126C">
      <w:pPr>
        <w:pStyle w:val="Bezodstpw"/>
        <w:autoSpaceDE w:val="0"/>
        <w:autoSpaceDN w:val="0"/>
        <w:adjustRightInd w:val="0"/>
        <w:spacing w:before="53" w:after="0" w:line="276" w:lineRule="auto"/>
        <w:ind w:left="720" w:firstLine="0"/>
        <w:outlineLvl w:val="2"/>
        <w:rPr>
          <w:rStyle w:val="FontStyle23"/>
          <w:rFonts w:ascii="Calibri" w:hAnsi="Calibri" w:cs="Calibri"/>
          <w:b w:val="0"/>
        </w:rPr>
      </w:pPr>
      <w:bookmarkStart w:id="140" w:name="_Toc216678531"/>
      <w:r w:rsidRPr="00941EC8">
        <w:rPr>
          <w:rStyle w:val="FontStyle23"/>
          <w:rFonts w:ascii="Calibri" w:hAnsi="Calibri" w:cs="Calibri"/>
          <w:b w:val="0"/>
        </w:rPr>
        <w:t xml:space="preserve">Załącznik nr 3 </w:t>
      </w:r>
      <w:r w:rsidR="0044126C">
        <w:rPr>
          <w:rStyle w:val="FontStyle23"/>
          <w:rFonts w:ascii="Calibri" w:hAnsi="Calibri" w:cs="Calibri"/>
          <w:b w:val="0"/>
        </w:rPr>
        <w:t xml:space="preserve">- </w:t>
      </w:r>
      <w:r w:rsidRPr="00941EC8">
        <w:rPr>
          <w:rStyle w:val="FontStyle26"/>
          <w:rFonts w:ascii="Calibri" w:hAnsi="Calibri" w:cs="Calibri"/>
        </w:rPr>
        <w:t>Propozycja trasy linii kablowych  110kV zasilających stację 110kV CPK.</w:t>
      </w:r>
      <w:bookmarkEnd w:id="140"/>
    </w:p>
    <w:p w14:paraId="675C90EE" w14:textId="44C4235E" w:rsidR="00941EC8" w:rsidRPr="00941EC8" w:rsidRDefault="0044126C" w:rsidP="0044126C">
      <w:pPr>
        <w:pStyle w:val="Bezodstpw"/>
        <w:autoSpaceDE w:val="0"/>
        <w:autoSpaceDN w:val="0"/>
        <w:adjustRightInd w:val="0"/>
        <w:spacing w:before="53" w:after="0" w:line="276" w:lineRule="auto"/>
        <w:ind w:left="720" w:firstLine="0"/>
        <w:outlineLvl w:val="2"/>
        <w:rPr>
          <w:rStyle w:val="FontStyle23"/>
          <w:rFonts w:ascii="Calibri" w:hAnsi="Calibri" w:cs="Calibri"/>
          <w:b w:val="0"/>
        </w:rPr>
      </w:pPr>
      <w:bookmarkStart w:id="141" w:name="_Toc216678532"/>
      <w:r>
        <w:rPr>
          <w:rStyle w:val="FontStyle23"/>
          <w:rFonts w:ascii="Calibri" w:hAnsi="Calibri" w:cs="Calibri"/>
          <w:b w:val="0"/>
        </w:rPr>
        <w:t>Załącznik nr 4 -</w:t>
      </w:r>
      <w:r w:rsidR="00941EC8" w:rsidRPr="00941EC8">
        <w:rPr>
          <w:rStyle w:val="FontStyle23"/>
          <w:rFonts w:ascii="Calibri" w:hAnsi="Calibri" w:cs="Calibri"/>
          <w:b w:val="0"/>
        </w:rPr>
        <w:t xml:space="preserve"> Linie 15kV kolidujące z lokalizacją stacji 110kV CPK.</w:t>
      </w:r>
      <w:bookmarkEnd w:id="141"/>
    </w:p>
    <w:p w14:paraId="6530E6CE" w14:textId="3828027A" w:rsidR="00941EC8" w:rsidRDefault="00941EC8"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bookmarkStart w:id="142" w:name="_Toc216678533"/>
      <w:r w:rsidRPr="00941EC8">
        <w:rPr>
          <w:rStyle w:val="FontStyle23"/>
          <w:rFonts w:ascii="Calibri" w:hAnsi="Calibri" w:cs="Calibri"/>
          <w:b w:val="0"/>
        </w:rPr>
        <w:t xml:space="preserve">Załącznik nr 5 </w:t>
      </w:r>
      <w:r w:rsidR="009B5A6A">
        <w:rPr>
          <w:rStyle w:val="FontStyle23"/>
          <w:rFonts w:ascii="Calibri" w:hAnsi="Calibri" w:cs="Calibri"/>
          <w:b w:val="0"/>
        </w:rPr>
        <w:t>–</w:t>
      </w:r>
      <w:r w:rsidRPr="00941EC8">
        <w:rPr>
          <w:rStyle w:val="FontStyle23"/>
          <w:rFonts w:ascii="Calibri" w:hAnsi="Calibri" w:cs="Calibri"/>
          <w:b w:val="0"/>
        </w:rPr>
        <w:t xml:space="preserve"> </w:t>
      </w:r>
      <w:r w:rsidR="009B5A6A">
        <w:rPr>
          <w:rStyle w:val="FontStyle23"/>
          <w:rFonts w:ascii="Calibri" w:hAnsi="Calibri" w:cs="Calibri"/>
          <w:b w:val="0"/>
        </w:rPr>
        <w:t>Warunki przyłączenia</w:t>
      </w:r>
      <w:r w:rsidRPr="00941EC8">
        <w:rPr>
          <w:rStyle w:val="FontStyle23"/>
          <w:rFonts w:ascii="Calibri" w:hAnsi="Calibri" w:cs="Calibri"/>
          <w:b w:val="0"/>
        </w:rPr>
        <w:t xml:space="preserve"> obiektu: Centralny Port Komunikacyjny.</w:t>
      </w:r>
      <w:bookmarkEnd w:id="142"/>
    </w:p>
    <w:p w14:paraId="20FFD12D" w14:textId="25DCB65B" w:rsidR="009B5A6A" w:rsidRDefault="009B5A6A" w:rsidP="009B5A6A">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bookmarkStart w:id="143" w:name="_Toc216678534"/>
      <w:r w:rsidRPr="00941EC8">
        <w:rPr>
          <w:rStyle w:val="FontStyle23"/>
          <w:rFonts w:ascii="Calibri" w:hAnsi="Calibri" w:cs="Calibri"/>
          <w:b w:val="0"/>
        </w:rPr>
        <w:t xml:space="preserve">Załącznik nr </w:t>
      </w:r>
      <w:r>
        <w:rPr>
          <w:rStyle w:val="FontStyle23"/>
          <w:rFonts w:ascii="Calibri" w:hAnsi="Calibri" w:cs="Calibri"/>
          <w:b w:val="0"/>
        </w:rPr>
        <w:t>6</w:t>
      </w:r>
      <w:r w:rsidRPr="00941EC8">
        <w:rPr>
          <w:rStyle w:val="FontStyle23"/>
          <w:rFonts w:ascii="Calibri" w:hAnsi="Calibri" w:cs="Calibri"/>
          <w:b w:val="0"/>
        </w:rPr>
        <w:t xml:space="preserve"> </w:t>
      </w:r>
      <w:r>
        <w:rPr>
          <w:rStyle w:val="FontStyle23"/>
          <w:rFonts w:ascii="Calibri" w:hAnsi="Calibri" w:cs="Calibri"/>
          <w:b w:val="0"/>
        </w:rPr>
        <w:t>–</w:t>
      </w:r>
      <w:r w:rsidRPr="00941EC8">
        <w:rPr>
          <w:rStyle w:val="FontStyle23"/>
          <w:rFonts w:ascii="Calibri" w:hAnsi="Calibri" w:cs="Calibri"/>
          <w:b w:val="0"/>
        </w:rPr>
        <w:t xml:space="preserve"> </w:t>
      </w:r>
      <w:r>
        <w:rPr>
          <w:rStyle w:val="FontStyle23"/>
          <w:rFonts w:ascii="Calibri" w:hAnsi="Calibri" w:cs="Calibri"/>
          <w:b w:val="0"/>
        </w:rPr>
        <w:t>Mapa projektu podziału nieruchomości</w:t>
      </w:r>
      <w:bookmarkEnd w:id="143"/>
    </w:p>
    <w:p w14:paraId="226CE854" w14:textId="77777777" w:rsidR="008A730C" w:rsidRDefault="008A730C" w:rsidP="009B5A6A">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p>
    <w:p w14:paraId="3C7B1E01" w14:textId="77777777" w:rsidR="008A730C" w:rsidRDefault="008A730C" w:rsidP="009B5A6A">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p>
    <w:p w14:paraId="0408EB9C" w14:textId="77777777" w:rsidR="008A730C" w:rsidRDefault="008A730C" w:rsidP="009B5A6A">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p>
    <w:p w14:paraId="20229020" w14:textId="77777777" w:rsidR="008A730C" w:rsidRDefault="008A730C" w:rsidP="009B5A6A">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rPr>
      </w:pPr>
    </w:p>
    <w:p w14:paraId="3C36E1E6" w14:textId="592099C7" w:rsidR="008A730C" w:rsidRDefault="008A730C" w:rsidP="008A730C">
      <w:pPr>
        <w:pStyle w:val="Bezodstpw"/>
        <w:widowControl w:val="0"/>
        <w:autoSpaceDE w:val="0"/>
        <w:autoSpaceDN w:val="0"/>
        <w:adjustRightInd w:val="0"/>
        <w:spacing w:before="0" w:after="0" w:line="276" w:lineRule="auto"/>
        <w:ind w:left="-284" w:firstLine="0"/>
        <w:outlineLvl w:val="2"/>
        <w:rPr>
          <w:rStyle w:val="FontStyle23"/>
          <w:rFonts w:ascii="Calibri" w:hAnsi="Calibri" w:cs="Calibri"/>
          <w:b w:val="0"/>
        </w:rPr>
      </w:pPr>
      <w:bookmarkStart w:id="144" w:name="_Toc216678535"/>
      <w:r>
        <w:rPr>
          <w:rStyle w:val="FontStyle23"/>
          <w:rFonts w:ascii="Calibri" w:hAnsi="Calibri" w:cs="Calibri"/>
          <w:b w:val="0"/>
          <w:noProof/>
        </w:rPr>
        <w:drawing>
          <wp:inline distT="0" distB="0" distL="0" distR="0" wp14:anchorId="1BCAD1D3" wp14:editId="793B548A">
            <wp:extent cx="6458858" cy="7520025"/>
            <wp:effectExtent l="0" t="0" r="0" b="5080"/>
            <wp:docPr id="19369336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5372" cy="7539252"/>
                    </a:xfrm>
                    <a:prstGeom prst="rect">
                      <a:avLst/>
                    </a:prstGeom>
                    <a:noFill/>
                    <a:ln>
                      <a:noFill/>
                    </a:ln>
                  </pic:spPr>
                </pic:pic>
              </a:graphicData>
            </a:graphic>
          </wp:inline>
        </w:drawing>
      </w:r>
      <w:bookmarkEnd w:id="144"/>
    </w:p>
    <w:p w14:paraId="34BC1246" w14:textId="77777777" w:rsidR="009B5A6A" w:rsidRDefault="009B5A6A"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bCs w:val="0"/>
        </w:rPr>
      </w:pPr>
    </w:p>
    <w:p w14:paraId="1FF95106" w14:textId="77777777" w:rsidR="008A730C" w:rsidRDefault="008A730C"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bCs w:val="0"/>
        </w:rPr>
      </w:pPr>
    </w:p>
    <w:p w14:paraId="11A186F1" w14:textId="77777777" w:rsidR="008A730C" w:rsidRDefault="008A730C"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bCs w:val="0"/>
        </w:rPr>
      </w:pPr>
    </w:p>
    <w:p w14:paraId="50221817" w14:textId="77777777" w:rsidR="008A730C" w:rsidRDefault="008A730C" w:rsidP="0044126C">
      <w:pPr>
        <w:pStyle w:val="Bezodstpw"/>
        <w:widowControl w:val="0"/>
        <w:autoSpaceDE w:val="0"/>
        <w:autoSpaceDN w:val="0"/>
        <w:adjustRightInd w:val="0"/>
        <w:spacing w:before="0" w:after="0" w:line="276" w:lineRule="auto"/>
        <w:ind w:left="720" w:firstLine="0"/>
        <w:outlineLvl w:val="2"/>
        <w:rPr>
          <w:rStyle w:val="FontStyle23"/>
          <w:rFonts w:ascii="Calibri" w:hAnsi="Calibri" w:cs="Calibri"/>
          <w:b w:val="0"/>
          <w:bCs w:val="0"/>
        </w:rPr>
      </w:pPr>
    </w:p>
    <w:p w14:paraId="35733125" w14:textId="77777777" w:rsidR="008A730C" w:rsidRDefault="008A730C" w:rsidP="008A730C">
      <w:pPr>
        <w:pStyle w:val="Bezodstpw"/>
        <w:widowControl w:val="0"/>
        <w:autoSpaceDE w:val="0"/>
        <w:autoSpaceDN w:val="0"/>
        <w:adjustRightInd w:val="0"/>
        <w:spacing w:before="0" w:after="0" w:line="276" w:lineRule="auto"/>
        <w:ind w:left="0" w:firstLine="0"/>
        <w:outlineLvl w:val="2"/>
        <w:rPr>
          <w:rStyle w:val="FontStyle23"/>
          <w:rFonts w:ascii="Calibri" w:hAnsi="Calibri" w:cs="Calibri"/>
          <w:b w:val="0"/>
          <w:bCs w:val="0"/>
        </w:rPr>
      </w:pPr>
    </w:p>
    <w:p w14:paraId="3D31E807" w14:textId="70AC8BF8" w:rsidR="008A730C" w:rsidRPr="00941EC8" w:rsidRDefault="008A730C" w:rsidP="008A730C">
      <w:pPr>
        <w:pStyle w:val="Bezodstpw"/>
        <w:widowControl w:val="0"/>
        <w:autoSpaceDE w:val="0"/>
        <w:autoSpaceDN w:val="0"/>
        <w:adjustRightInd w:val="0"/>
        <w:spacing w:before="0" w:after="0" w:line="276" w:lineRule="auto"/>
        <w:ind w:left="0" w:firstLine="0"/>
        <w:outlineLvl w:val="2"/>
        <w:rPr>
          <w:rStyle w:val="FontStyle23"/>
          <w:rFonts w:ascii="Calibri" w:hAnsi="Calibri" w:cs="Calibri"/>
          <w:b w:val="0"/>
          <w:bCs w:val="0"/>
        </w:rPr>
      </w:pPr>
      <w:bookmarkStart w:id="145" w:name="_Toc216678536"/>
      <w:r>
        <w:rPr>
          <w:rStyle w:val="FontStyle23"/>
          <w:rFonts w:ascii="Calibri" w:hAnsi="Calibri" w:cs="Calibri"/>
          <w:b w:val="0"/>
          <w:bCs w:val="0"/>
          <w:noProof/>
        </w:rPr>
        <w:drawing>
          <wp:inline distT="0" distB="0" distL="0" distR="0" wp14:anchorId="03886E65" wp14:editId="66954349">
            <wp:extent cx="7988868" cy="6152515"/>
            <wp:effectExtent l="3492" t="0" r="0" b="0"/>
            <wp:docPr id="170537452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8000542" cy="6161505"/>
                    </a:xfrm>
                    <a:prstGeom prst="rect">
                      <a:avLst/>
                    </a:prstGeom>
                    <a:noFill/>
                    <a:ln>
                      <a:noFill/>
                    </a:ln>
                  </pic:spPr>
                </pic:pic>
              </a:graphicData>
            </a:graphic>
          </wp:inline>
        </w:drawing>
      </w:r>
      <w:bookmarkEnd w:id="145"/>
    </w:p>
    <w:p w14:paraId="39537A32" w14:textId="77777777" w:rsidR="008A730C" w:rsidRDefault="008A730C" w:rsidP="00F55E62">
      <w:pPr>
        <w:ind w:left="0" w:firstLine="0"/>
        <w:rPr>
          <w:rFonts w:asciiTheme="minorHAnsi" w:hAnsiTheme="minorHAnsi" w:cstheme="minorHAnsi"/>
          <w:sz w:val="22"/>
          <w:szCs w:val="22"/>
        </w:rPr>
      </w:pPr>
    </w:p>
    <w:p w14:paraId="1F7CC148" w14:textId="518C0CC4"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66CA69B1" wp14:editId="2940EB7D">
            <wp:extent cx="8257118" cy="6470015"/>
            <wp:effectExtent l="0" t="1905" r="8890" b="8890"/>
            <wp:docPr id="14645922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8268352" cy="6478818"/>
                    </a:xfrm>
                    <a:prstGeom prst="rect">
                      <a:avLst/>
                    </a:prstGeom>
                    <a:noFill/>
                    <a:ln>
                      <a:noFill/>
                    </a:ln>
                  </pic:spPr>
                </pic:pic>
              </a:graphicData>
            </a:graphic>
          </wp:inline>
        </w:drawing>
      </w:r>
    </w:p>
    <w:p w14:paraId="4B927384" w14:textId="77777777" w:rsidR="008A730C" w:rsidRDefault="008A730C" w:rsidP="008A730C">
      <w:pPr>
        <w:ind w:left="-567" w:firstLine="0"/>
        <w:rPr>
          <w:rFonts w:asciiTheme="minorHAnsi" w:hAnsiTheme="minorHAnsi" w:cstheme="minorHAnsi"/>
          <w:sz w:val="22"/>
          <w:szCs w:val="22"/>
        </w:rPr>
      </w:pPr>
    </w:p>
    <w:p w14:paraId="19AB4358" w14:textId="50A550D7"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74CE990F" wp14:editId="744A6F1B">
            <wp:extent cx="8286273" cy="6522378"/>
            <wp:effectExtent l="5715" t="0" r="6350" b="6350"/>
            <wp:docPr id="29798957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8298096" cy="6531684"/>
                    </a:xfrm>
                    <a:prstGeom prst="rect">
                      <a:avLst/>
                    </a:prstGeom>
                    <a:noFill/>
                    <a:ln>
                      <a:noFill/>
                    </a:ln>
                  </pic:spPr>
                </pic:pic>
              </a:graphicData>
            </a:graphic>
          </wp:inline>
        </w:drawing>
      </w:r>
    </w:p>
    <w:p w14:paraId="61E944C8" w14:textId="14425AE2"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6932E4D4" wp14:editId="2EF9B2AF">
            <wp:extent cx="6736715" cy="8141818"/>
            <wp:effectExtent l="0" t="0" r="6985" b="0"/>
            <wp:docPr id="197622957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40904" cy="8146881"/>
                    </a:xfrm>
                    <a:prstGeom prst="rect">
                      <a:avLst/>
                    </a:prstGeom>
                    <a:noFill/>
                    <a:ln>
                      <a:noFill/>
                    </a:ln>
                  </pic:spPr>
                </pic:pic>
              </a:graphicData>
            </a:graphic>
          </wp:inline>
        </w:drawing>
      </w:r>
    </w:p>
    <w:p w14:paraId="28E99FAA" w14:textId="692E8E57" w:rsidR="008A730C" w:rsidRDefault="008A730C" w:rsidP="008A730C">
      <w:pPr>
        <w:ind w:left="-567" w:firstLine="0"/>
        <w:rPr>
          <w:rFonts w:asciiTheme="minorHAnsi" w:hAnsiTheme="minorHAnsi" w:cstheme="minorHAnsi"/>
          <w:sz w:val="22"/>
          <w:szCs w:val="22"/>
        </w:rPr>
      </w:pPr>
    </w:p>
    <w:p w14:paraId="3674A438" w14:textId="77777777" w:rsidR="008A730C" w:rsidRDefault="008A730C" w:rsidP="008A730C">
      <w:pPr>
        <w:ind w:left="-567" w:firstLine="0"/>
        <w:rPr>
          <w:rFonts w:asciiTheme="minorHAnsi" w:hAnsiTheme="minorHAnsi" w:cstheme="minorHAnsi"/>
          <w:sz w:val="22"/>
          <w:szCs w:val="22"/>
        </w:rPr>
      </w:pPr>
    </w:p>
    <w:p w14:paraId="0E08C71B" w14:textId="54295610"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1E7682F" wp14:editId="112B5EC7">
            <wp:extent cx="6715125" cy="7878471"/>
            <wp:effectExtent l="0" t="0" r="0" b="8255"/>
            <wp:docPr id="13078407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19062" cy="7883090"/>
                    </a:xfrm>
                    <a:prstGeom prst="rect">
                      <a:avLst/>
                    </a:prstGeom>
                    <a:noFill/>
                    <a:ln>
                      <a:noFill/>
                    </a:ln>
                  </pic:spPr>
                </pic:pic>
              </a:graphicData>
            </a:graphic>
          </wp:inline>
        </w:drawing>
      </w:r>
    </w:p>
    <w:p w14:paraId="69F8BFCE" w14:textId="77777777" w:rsidR="008A730C" w:rsidRDefault="008A730C" w:rsidP="008A730C">
      <w:pPr>
        <w:ind w:left="-567" w:firstLine="0"/>
        <w:rPr>
          <w:rFonts w:asciiTheme="minorHAnsi" w:hAnsiTheme="minorHAnsi" w:cstheme="minorHAnsi"/>
          <w:sz w:val="22"/>
          <w:szCs w:val="22"/>
        </w:rPr>
      </w:pPr>
    </w:p>
    <w:p w14:paraId="570D4F71" w14:textId="77777777" w:rsidR="008A730C" w:rsidRDefault="008A730C" w:rsidP="008A730C">
      <w:pPr>
        <w:ind w:left="-567" w:firstLine="0"/>
        <w:rPr>
          <w:rFonts w:asciiTheme="minorHAnsi" w:hAnsiTheme="minorHAnsi" w:cstheme="minorHAnsi"/>
          <w:sz w:val="22"/>
          <w:szCs w:val="22"/>
        </w:rPr>
      </w:pPr>
    </w:p>
    <w:p w14:paraId="00E94F50" w14:textId="09329668"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1C5985E" wp14:editId="6E46453C">
            <wp:extent cx="6692900" cy="7944307"/>
            <wp:effectExtent l="0" t="0" r="0" b="0"/>
            <wp:docPr id="46019486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5705" cy="7947636"/>
                    </a:xfrm>
                    <a:prstGeom prst="rect">
                      <a:avLst/>
                    </a:prstGeom>
                    <a:noFill/>
                    <a:ln>
                      <a:noFill/>
                    </a:ln>
                  </pic:spPr>
                </pic:pic>
              </a:graphicData>
            </a:graphic>
          </wp:inline>
        </w:drawing>
      </w:r>
    </w:p>
    <w:p w14:paraId="231B2FF2" w14:textId="77777777" w:rsidR="008A730C" w:rsidRDefault="008A730C" w:rsidP="008A730C">
      <w:pPr>
        <w:ind w:left="-567" w:firstLine="0"/>
        <w:rPr>
          <w:rFonts w:asciiTheme="minorHAnsi" w:hAnsiTheme="minorHAnsi" w:cstheme="minorHAnsi"/>
          <w:sz w:val="22"/>
          <w:szCs w:val="22"/>
        </w:rPr>
      </w:pPr>
    </w:p>
    <w:p w14:paraId="73E24CC4" w14:textId="77777777" w:rsidR="008A730C" w:rsidRDefault="008A730C" w:rsidP="008A730C">
      <w:pPr>
        <w:ind w:left="-567" w:firstLine="0"/>
        <w:rPr>
          <w:rFonts w:asciiTheme="minorHAnsi" w:hAnsiTheme="minorHAnsi" w:cstheme="minorHAnsi"/>
          <w:sz w:val="22"/>
          <w:szCs w:val="22"/>
        </w:rPr>
      </w:pPr>
    </w:p>
    <w:p w14:paraId="026264C7" w14:textId="0CACCF9B"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3D4A082" wp14:editId="139AE5E0">
            <wp:extent cx="6627571" cy="7797800"/>
            <wp:effectExtent l="0" t="0" r="1905" b="0"/>
            <wp:docPr id="206537743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8157" cy="7798489"/>
                    </a:xfrm>
                    <a:prstGeom prst="rect">
                      <a:avLst/>
                    </a:prstGeom>
                    <a:noFill/>
                    <a:ln>
                      <a:noFill/>
                    </a:ln>
                  </pic:spPr>
                </pic:pic>
              </a:graphicData>
            </a:graphic>
          </wp:inline>
        </w:drawing>
      </w:r>
    </w:p>
    <w:p w14:paraId="72D46899" w14:textId="77777777" w:rsidR="008A730C" w:rsidRDefault="008A730C" w:rsidP="008A730C">
      <w:pPr>
        <w:ind w:left="-567" w:firstLine="0"/>
        <w:rPr>
          <w:rFonts w:asciiTheme="minorHAnsi" w:hAnsiTheme="minorHAnsi" w:cstheme="minorHAnsi"/>
          <w:sz w:val="22"/>
          <w:szCs w:val="22"/>
        </w:rPr>
      </w:pPr>
    </w:p>
    <w:p w14:paraId="5D66D82D" w14:textId="77777777" w:rsidR="008A730C" w:rsidRDefault="008A730C" w:rsidP="008A730C">
      <w:pPr>
        <w:ind w:left="-567" w:firstLine="0"/>
        <w:rPr>
          <w:rFonts w:asciiTheme="minorHAnsi" w:hAnsiTheme="minorHAnsi" w:cstheme="minorHAnsi"/>
          <w:sz w:val="22"/>
          <w:szCs w:val="22"/>
        </w:rPr>
      </w:pPr>
    </w:p>
    <w:p w14:paraId="48834A5F" w14:textId="7725DC32"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43A777A" wp14:editId="132FE1E4">
            <wp:extent cx="6532473" cy="7797800"/>
            <wp:effectExtent l="0" t="0" r="1905" b="0"/>
            <wp:docPr id="51186307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35038" cy="7800862"/>
                    </a:xfrm>
                    <a:prstGeom prst="rect">
                      <a:avLst/>
                    </a:prstGeom>
                    <a:noFill/>
                    <a:ln>
                      <a:noFill/>
                    </a:ln>
                  </pic:spPr>
                </pic:pic>
              </a:graphicData>
            </a:graphic>
          </wp:inline>
        </w:drawing>
      </w:r>
    </w:p>
    <w:p w14:paraId="55AA64D8" w14:textId="77777777" w:rsidR="008A730C" w:rsidRDefault="008A730C" w:rsidP="008A730C">
      <w:pPr>
        <w:ind w:left="-567" w:firstLine="0"/>
        <w:rPr>
          <w:rFonts w:asciiTheme="minorHAnsi" w:hAnsiTheme="minorHAnsi" w:cstheme="minorHAnsi"/>
          <w:sz w:val="22"/>
          <w:szCs w:val="22"/>
        </w:rPr>
      </w:pPr>
    </w:p>
    <w:p w14:paraId="5C1EFC9C" w14:textId="4F3DDB7C" w:rsidR="008A730C"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3ABBF53A" wp14:editId="01FE487F">
            <wp:extent cx="6700520" cy="8054036"/>
            <wp:effectExtent l="0" t="0" r="5080" b="4445"/>
            <wp:docPr id="87704395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02696" cy="8056651"/>
                    </a:xfrm>
                    <a:prstGeom prst="rect">
                      <a:avLst/>
                    </a:prstGeom>
                    <a:noFill/>
                    <a:ln>
                      <a:noFill/>
                    </a:ln>
                  </pic:spPr>
                </pic:pic>
              </a:graphicData>
            </a:graphic>
          </wp:inline>
        </w:drawing>
      </w:r>
    </w:p>
    <w:p w14:paraId="79A6D50B" w14:textId="77777777" w:rsidR="008A730C" w:rsidRDefault="008A730C" w:rsidP="008A730C">
      <w:pPr>
        <w:ind w:left="-567" w:firstLine="0"/>
        <w:rPr>
          <w:rFonts w:asciiTheme="minorHAnsi" w:hAnsiTheme="minorHAnsi" w:cstheme="minorHAnsi"/>
          <w:sz w:val="22"/>
          <w:szCs w:val="22"/>
        </w:rPr>
      </w:pPr>
    </w:p>
    <w:p w14:paraId="34467859" w14:textId="1E8947EE" w:rsidR="008A730C" w:rsidRPr="005F6FAE" w:rsidRDefault="008A730C" w:rsidP="008A730C">
      <w:pPr>
        <w:ind w:left="-567" w:firstLine="0"/>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1AB1D095" wp14:editId="22F39F57">
            <wp:extent cx="6649517" cy="8522335"/>
            <wp:effectExtent l="0" t="0" r="0" b="0"/>
            <wp:docPr id="7808259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52262" cy="8525853"/>
                    </a:xfrm>
                    <a:prstGeom prst="rect">
                      <a:avLst/>
                    </a:prstGeom>
                    <a:noFill/>
                    <a:ln>
                      <a:noFill/>
                    </a:ln>
                  </pic:spPr>
                </pic:pic>
              </a:graphicData>
            </a:graphic>
          </wp:inline>
        </w:drawing>
      </w:r>
    </w:p>
    <w:sectPr w:rsidR="008A730C" w:rsidRPr="005F6FAE" w:rsidSect="00770CEC">
      <w:headerReference w:type="even" r:id="rId23"/>
      <w:headerReference w:type="default" r:id="rId24"/>
      <w:footerReference w:type="even" r:id="rId25"/>
      <w:footerReference w:type="default" r:id="rId26"/>
      <w:pgSz w:w="11907" w:h="16840" w:code="9"/>
      <w:pgMar w:top="1985" w:right="992" w:bottom="1418" w:left="1418" w:header="570" w:footer="567"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76183" w14:textId="77777777" w:rsidR="00DA240A" w:rsidRDefault="00DA240A">
      <w:r>
        <w:separator/>
      </w:r>
    </w:p>
  </w:endnote>
  <w:endnote w:type="continuationSeparator" w:id="0">
    <w:p w14:paraId="1806A856" w14:textId="77777777" w:rsidR="00DA240A" w:rsidRDefault="00DA240A">
      <w:r>
        <w:continuationSeparator/>
      </w:r>
    </w:p>
  </w:endnote>
  <w:endnote w:type="continuationNotice" w:id="1">
    <w:p w14:paraId="5F6145DC" w14:textId="77777777" w:rsidR="00DA240A" w:rsidRDefault="00DA240A">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DE9F9" w14:textId="77777777" w:rsidR="005F2C83" w:rsidRDefault="005F2C8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5105DD4F" w14:textId="77777777" w:rsidR="005F2C83" w:rsidRDefault="005F2C83">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6321647"/>
      <w:docPartObj>
        <w:docPartGallery w:val="Page Numbers (Bottom of Page)"/>
        <w:docPartUnique/>
      </w:docPartObj>
    </w:sdtPr>
    <w:sdtEndPr>
      <w:rPr>
        <w:color w:val="7F7F7F" w:themeColor="background1" w:themeShade="7F"/>
        <w:spacing w:val="60"/>
      </w:rPr>
    </w:sdtEndPr>
    <w:sdtContent>
      <w:p w14:paraId="7092C519" w14:textId="5AC9B6DF" w:rsidR="005F2C83" w:rsidRDefault="005F2C83">
        <w:pPr>
          <w:pStyle w:val="Stopka"/>
          <w:pBdr>
            <w:top w:val="single" w:sz="4" w:space="1" w:color="D9D9D9" w:themeColor="background1" w:themeShade="D9"/>
          </w:pBdr>
          <w:jc w:val="right"/>
          <w:rPr>
            <w:color w:val="7F7F7F" w:themeColor="background1" w:themeShade="7F"/>
            <w:spacing w:val="60"/>
          </w:rPr>
        </w:pPr>
        <w:r>
          <w:rPr>
            <w:rFonts w:ascii="Calibri" w:hAnsi="Calibri"/>
            <w:i/>
          </w:rPr>
          <w:t>Załącznik nr 1</w:t>
        </w:r>
        <w:r w:rsidRPr="00E87C9C">
          <w:rPr>
            <w:rFonts w:ascii="Calibri" w:hAnsi="Calibri"/>
            <w:i/>
          </w:rPr>
          <w:t xml:space="preserve"> - </w:t>
        </w:r>
        <w:r>
          <w:fldChar w:fldCharType="begin"/>
        </w:r>
        <w:r>
          <w:instrText xml:space="preserve"> PAGE   \* MERGEFORMAT </w:instrText>
        </w:r>
        <w:r>
          <w:fldChar w:fldCharType="separate"/>
        </w:r>
        <w:r w:rsidR="00693033">
          <w:rPr>
            <w:noProof/>
          </w:rPr>
          <w:t>22</w:t>
        </w:r>
        <w:r>
          <w:rPr>
            <w:noProof/>
          </w:rPr>
          <w:fldChar w:fldCharType="end"/>
        </w:r>
        <w:r>
          <w:t xml:space="preserve"> | </w:t>
        </w:r>
        <w:r>
          <w:rPr>
            <w:color w:val="7F7F7F" w:themeColor="background1" w:themeShade="7F"/>
            <w:spacing w:val="60"/>
          </w:rPr>
          <w:t>Strona</w:t>
        </w:r>
      </w:p>
    </w:sdtContent>
  </w:sdt>
  <w:p w14:paraId="49A03E00" w14:textId="77777777" w:rsidR="005F2C83" w:rsidRDefault="005F2C83">
    <w:pPr>
      <w:pStyle w:val="Stopka"/>
      <w:pBdr>
        <w:top w:val="single" w:sz="4" w:space="1" w:color="D9D9D9" w:themeColor="background1" w:themeShade="D9"/>
      </w:pBd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285E7" w14:textId="77777777" w:rsidR="00DA240A" w:rsidRDefault="00DA240A">
      <w:r>
        <w:separator/>
      </w:r>
    </w:p>
  </w:footnote>
  <w:footnote w:type="continuationSeparator" w:id="0">
    <w:p w14:paraId="02358A07" w14:textId="77777777" w:rsidR="00DA240A" w:rsidRDefault="00DA240A">
      <w:r>
        <w:continuationSeparator/>
      </w:r>
    </w:p>
  </w:footnote>
  <w:footnote w:type="continuationNotice" w:id="1">
    <w:p w14:paraId="3155588E" w14:textId="77777777" w:rsidR="00DA240A" w:rsidRDefault="00DA240A">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27DCF" w14:textId="77777777" w:rsidR="005F2C83" w:rsidRDefault="005F2C83">
    <w:pPr>
      <w:pStyle w:val="Nagwek"/>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0561183D" w14:textId="77777777" w:rsidR="005F2C83" w:rsidRDefault="005F2C8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F987B" w14:textId="1B01DA2B" w:rsidR="005F2C83" w:rsidRDefault="005F2C83" w:rsidP="006E455C">
    <w:pPr>
      <w:widowControl w:val="0"/>
      <w:pBdr>
        <w:bottom w:val="dashSmallGap" w:sz="4" w:space="1" w:color="1F497D"/>
      </w:pBdr>
      <w:spacing w:after="0"/>
      <w:ind w:left="0" w:firstLine="567"/>
      <w:contextualSpacing/>
      <w:jc w:val="right"/>
      <w:rPr>
        <w:rFonts w:ascii="Calibri" w:eastAsia="Calibri" w:hAnsi="Calibri" w:cs="Calibri"/>
        <w:noProof/>
        <w:sz w:val="24"/>
        <w:szCs w:val="24"/>
        <w:lang w:eastAsia="en-US"/>
      </w:rPr>
    </w:pPr>
    <w:r w:rsidRPr="006E455C">
      <w:rPr>
        <w:rFonts w:ascii="Calibri" w:eastAsia="Calibri" w:hAnsi="Calibri" w:cs="Calibri"/>
        <w:noProof/>
        <w:sz w:val="24"/>
        <w:szCs w:val="24"/>
        <w:lang w:eastAsia="en-US"/>
      </w:rPr>
      <w:t>Z</w:t>
    </w:r>
    <w:r>
      <w:rPr>
        <w:rFonts w:ascii="Calibri" w:eastAsia="Calibri" w:hAnsi="Calibri" w:cs="Calibri"/>
        <w:noProof/>
        <w:sz w:val="24"/>
        <w:szCs w:val="24"/>
        <w:lang w:eastAsia="en-US"/>
      </w:rPr>
      <w:t>ałącznik nr 1 do S</w:t>
    </w:r>
    <w:r w:rsidRPr="006E455C">
      <w:rPr>
        <w:rFonts w:ascii="Calibri" w:eastAsia="Calibri" w:hAnsi="Calibri" w:cs="Calibri"/>
        <w:noProof/>
        <w:sz w:val="24"/>
        <w:szCs w:val="24"/>
        <w:lang w:eastAsia="en-US"/>
      </w:rPr>
      <w:t>WZ</w:t>
    </w:r>
    <w:r>
      <w:rPr>
        <w:rFonts w:ascii="Calibri" w:eastAsia="Calibri" w:hAnsi="Calibri" w:cs="Calibri"/>
        <w:noProof/>
        <w:sz w:val="24"/>
        <w:szCs w:val="24"/>
        <w:lang w:eastAsia="en-US"/>
      </w:rPr>
      <w:t>/ nr 3 do umowy………………………..</w:t>
    </w:r>
    <w:r w:rsidRPr="006E455C">
      <w:rPr>
        <w:rFonts w:ascii="Calibri" w:eastAsia="Calibri" w:hAnsi="Calibri" w:cs="Calibri"/>
        <w:noProof/>
        <w:sz w:val="24"/>
        <w:szCs w:val="24"/>
        <w:lang w:eastAsia="en-US"/>
      </w:rPr>
      <w:t xml:space="preserve"> </w:t>
    </w:r>
  </w:p>
  <w:p w14:paraId="11699282" w14:textId="577408AA" w:rsidR="005F2C83" w:rsidRPr="006E455C" w:rsidRDefault="005F2C83" w:rsidP="006E455C">
    <w:pPr>
      <w:widowControl w:val="0"/>
      <w:pBdr>
        <w:bottom w:val="dashSmallGap" w:sz="4" w:space="1" w:color="1F497D"/>
      </w:pBdr>
      <w:spacing w:after="0"/>
      <w:ind w:left="0" w:firstLine="567"/>
      <w:contextualSpacing/>
      <w:jc w:val="right"/>
      <w:rPr>
        <w:rFonts w:ascii="Calibri" w:eastAsia="Calibri" w:hAnsi="Calibri" w:cs="Calibri"/>
        <w:noProof/>
        <w:sz w:val="24"/>
        <w:szCs w:val="24"/>
        <w:lang w:eastAsia="en-US"/>
      </w:rPr>
    </w:pPr>
    <w:r w:rsidRPr="006E455C">
      <w:rPr>
        <w:rFonts w:ascii="Calibri" w:eastAsia="Calibri" w:hAnsi="Calibri" w:cs="Calibri"/>
        <w:noProof/>
        <w:sz w:val="24"/>
        <w:szCs w:val="24"/>
        <w:lang w:eastAsia="en-US"/>
      </w:rPr>
      <w:t xml:space="preserve">nr postępowania </w:t>
    </w:r>
    <w:r w:rsidR="00B628F4" w:rsidRPr="00B628F4">
      <w:rPr>
        <w:rFonts w:ascii="Calibri" w:eastAsia="Calibri" w:hAnsi="Calibri" w:cs="Calibri"/>
        <w:noProof/>
        <w:sz w:val="24"/>
        <w:szCs w:val="24"/>
        <w:lang w:eastAsia="en-US"/>
      </w:rPr>
      <w:t>POST/DYS/OLD/GZ/00140/2026</w:t>
    </w:r>
  </w:p>
  <w:p w14:paraId="1A264764" w14:textId="77777777" w:rsidR="005F2C83" w:rsidRPr="006E455C" w:rsidRDefault="005F2C83" w:rsidP="006E455C">
    <w:pPr>
      <w:keepNext/>
      <w:keepLines/>
      <w:shd w:val="clear" w:color="auto" w:fill="A6A6A6"/>
      <w:spacing w:before="0" w:after="0"/>
      <w:ind w:left="0" w:firstLine="0"/>
      <w:contextualSpacing/>
      <w:jc w:val="center"/>
      <w:rPr>
        <w:rFonts w:ascii="Calibri" w:eastAsia="Calibri" w:hAnsi="Calibri" w:cs="Calibri"/>
        <w:b/>
        <w:caps/>
        <w:sz w:val="24"/>
        <w:szCs w:val="24"/>
      </w:rPr>
    </w:pPr>
    <w:r w:rsidRPr="006E455C">
      <w:rPr>
        <w:rFonts w:ascii="Calibri" w:eastAsia="Calibri" w:hAnsi="Calibri" w:cs="Calibri"/>
        <w:b/>
        <w:caps/>
        <w:sz w:val="24"/>
        <w:szCs w:val="24"/>
      </w:rPr>
      <w:t xml:space="preserve">Specyfikacja techniczna </w:t>
    </w:r>
  </w:p>
  <w:p w14:paraId="55E908C5" w14:textId="2B86743B" w:rsidR="005F2C83" w:rsidRPr="002F2323" w:rsidRDefault="005F2C83" w:rsidP="00402FBE">
    <w:pPr>
      <w:pStyle w:val="Zanag2"/>
      <w:rPr>
        <w:rFonts w:ascii="Calibri" w:hAnsi="Calibri" w:cs="Calibri"/>
        <w:caps w:val="0"/>
        <w:sz w:val="24"/>
      </w:rPr>
    </w:pPr>
    <w:r>
      <w:rPr>
        <w:rFonts w:ascii="Calibri" w:hAnsi="Calibri" w:cs="Calibri"/>
        <w:caps w:val="0"/>
        <w:sz w:val="24"/>
      </w:rPr>
      <w:t>Usługi projektowe w zakresie sieci elektroenergetycznych WN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3846E9C"/>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F3E8CEEC"/>
    <w:name w:val="WW8Num1"/>
    <w:lvl w:ilvl="0">
      <w:start w:val="1"/>
      <w:numFmt w:val="decimal"/>
      <w:lvlText w:val="%1."/>
      <w:lvlJc w:val="left"/>
      <w:pPr>
        <w:tabs>
          <w:tab w:val="num" w:pos="720"/>
        </w:tabs>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00000002"/>
    <w:multiLevelType w:val="singleLevel"/>
    <w:tmpl w:val="00000002"/>
    <w:name w:val="WW8Num2"/>
    <w:lvl w:ilvl="0">
      <w:start w:val="1"/>
      <w:numFmt w:val="bullet"/>
      <w:lvlText w:val=""/>
      <w:lvlJc w:val="left"/>
      <w:pPr>
        <w:tabs>
          <w:tab w:val="num" w:pos="680"/>
        </w:tabs>
      </w:pPr>
      <w:rPr>
        <w:rFonts w:ascii="Symbol" w:hAnsi="Symbol"/>
      </w:rPr>
    </w:lvl>
  </w:abstractNum>
  <w:abstractNum w:abstractNumId="3" w15:restartNumberingAfterBreak="0">
    <w:nsid w:val="00000003"/>
    <w:multiLevelType w:val="singleLevel"/>
    <w:tmpl w:val="00000003"/>
    <w:name w:val="WW8Num3"/>
    <w:lvl w:ilvl="0">
      <w:start w:val="1"/>
      <w:numFmt w:val="lowerLetter"/>
      <w:lvlText w:val="%1."/>
      <w:lvlJc w:val="left"/>
      <w:pPr>
        <w:tabs>
          <w:tab w:val="num" w:pos="720"/>
        </w:tabs>
        <w:ind w:left="720" w:hanging="360"/>
      </w:pPr>
    </w:lvl>
  </w:abstractNum>
  <w:abstractNum w:abstractNumId="4" w15:restartNumberingAfterBreak="0">
    <w:nsid w:val="00000008"/>
    <w:multiLevelType w:val="singleLevel"/>
    <w:tmpl w:val="00000008"/>
    <w:name w:val="WW8Num8"/>
    <w:lvl w:ilvl="0">
      <w:start w:val="1"/>
      <w:numFmt w:val="bullet"/>
      <w:lvlText w:val="-"/>
      <w:lvlJc w:val="left"/>
      <w:pPr>
        <w:tabs>
          <w:tab w:val="num" w:pos="1021"/>
        </w:tabs>
      </w:pPr>
      <w:rPr>
        <w:rFonts w:ascii="Times New Roman" w:hAnsi="Times New Roman"/>
      </w:rPr>
    </w:lvl>
  </w:abstractNum>
  <w:abstractNum w:abstractNumId="5" w15:restartNumberingAfterBreak="0">
    <w:nsid w:val="00000009"/>
    <w:multiLevelType w:val="singleLevel"/>
    <w:tmpl w:val="00000009"/>
    <w:name w:val="WW8Num9"/>
    <w:lvl w:ilvl="0">
      <w:start w:val="1"/>
      <w:numFmt w:val="bullet"/>
      <w:lvlText w:val=""/>
      <w:lvlJc w:val="left"/>
      <w:pPr>
        <w:tabs>
          <w:tab w:val="num" w:pos="1021"/>
        </w:tabs>
      </w:pPr>
      <w:rPr>
        <w:rFonts w:ascii="Symbol" w:hAnsi="Symbol"/>
      </w:rPr>
    </w:lvl>
  </w:abstractNum>
  <w:abstractNum w:abstractNumId="6" w15:restartNumberingAfterBreak="0">
    <w:nsid w:val="0000000E"/>
    <w:multiLevelType w:val="multilevel"/>
    <w:tmpl w:val="0000000E"/>
    <w:name w:val="WW8Num14"/>
    <w:lvl w:ilvl="0">
      <w:start w:val="1"/>
      <w:numFmt w:val="bullet"/>
      <w:lvlText w:val=""/>
      <w:lvlJc w:val="left"/>
      <w:pPr>
        <w:tabs>
          <w:tab w:val="num" w:pos="680"/>
        </w:tabs>
      </w:pPr>
      <w:rPr>
        <w:rFonts w:ascii="Wingdings" w:hAnsi="Wingdings"/>
      </w:rPr>
    </w:lvl>
    <w:lvl w:ilvl="1">
      <w:start w:val="1"/>
      <w:numFmt w:val="lowerLetter"/>
      <w:lvlText w:val="%2."/>
      <w:lvlJc w:val="left"/>
      <w:pPr>
        <w:tabs>
          <w:tab w:val="num" w:pos="1440"/>
        </w:tabs>
      </w:pPr>
    </w:lvl>
    <w:lvl w:ilvl="2">
      <w:start w:val="1"/>
      <w:numFmt w:val="lowerLetter"/>
      <w:lvlText w:val="%3)"/>
      <w:lvlJc w:val="left"/>
      <w:pPr>
        <w:tabs>
          <w:tab w:val="num" w:pos="2160"/>
        </w:tabs>
      </w:p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7" w15:restartNumberingAfterBreak="0">
    <w:nsid w:val="00000014"/>
    <w:multiLevelType w:val="singleLevel"/>
    <w:tmpl w:val="00000014"/>
    <w:name w:val="WW8Num20"/>
    <w:lvl w:ilvl="0">
      <w:start w:val="1"/>
      <w:numFmt w:val="bullet"/>
      <w:lvlText w:val=""/>
      <w:lvlJc w:val="left"/>
      <w:pPr>
        <w:tabs>
          <w:tab w:val="num" w:pos="680"/>
        </w:tabs>
      </w:pPr>
      <w:rPr>
        <w:rFonts w:ascii="Wingdings" w:hAnsi="Wingdings"/>
        <w:b w:val="0"/>
        <w:i w:val="0"/>
      </w:rPr>
    </w:lvl>
  </w:abstractNum>
  <w:abstractNum w:abstractNumId="8" w15:restartNumberingAfterBreak="0">
    <w:nsid w:val="00000019"/>
    <w:multiLevelType w:val="singleLevel"/>
    <w:tmpl w:val="00000019"/>
    <w:name w:val="WW8Num25"/>
    <w:lvl w:ilvl="0">
      <w:start w:val="3"/>
      <w:numFmt w:val="bullet"/>
      <w:lvlText w:val="-"/>
      <w:lvlJc w:val="left"/>
      <w:pPr>
        <w:tabs>
          <w:tab w:val="num" w:pos="680"/>
        </w:tabs>
      </w:pPr>
      <w:rPr>
        <w:rFonts w:ascii="Times New Roman" w:hAnsi="Times New Roman" w:cs="Times New Roman"/>
      </w:rPr>
    </w:lvl>
  </w:abstractNum>
  <w:abstractNum w:abstractNumId="9" w15:restartNumberingAfterBreak="0">
    <w:nsid w:val="0000001B"/>
    <w:multiLevelType w:val="singleLevel"/>
    <w:tmpl w:val="0000001B"/>
    <w:name w:val="WW8Num27"/>
    <w:lvl w:ilvl="0">
      <w:start w:val="1"/>
      <w:numFmt w:val="bullet"/>
      <w:lvlText w:val="-"/>
      <w:lvlJc w:val="left"/>
      <w:pPr>
        <w:tabs>
          <w:tab w:val="num" w:pos="680"/>
        </w:tabs>
      </w:pPr>
      <w:rPr>
        <w:rFonts w:ascii="Times New Roman" w:hAnsi="Times New Roman" w:cs="Times New Roman"/>
      </w:rPr>
    </w:lvl>
  </w:abstractNum>
  <w:abstractNum w:abstractNumId="10" w15:restartNumberingAfterBreak="0">
    <w:nsid w:val="0000001D"/>
    <w:multiLevelType w:val="singleLevel"/>
    <w:tmpl w:val="0000001D"/>
    <w:name w:val="WW8Num29"/>
    <w:lvl w:ilvl="0">
      <w:start w:val="1"/>
      <w:numFmt w:val="bullet"/>
      <w:lvlText w:val=""/>
      <w:lvlJc w:val="left"/>
      <w:pPr>
        <w:tabs>
          <w:tab w:val="num" w:pos="680"/>
        </w:tabs>
      </w:pPr>
      <w:rPr>
        <w:rFonts w:ascii="Symbol" w:hAnsi="Symbol"/>
      </w:rPr>
    </w:lvl>
  </w:abstractNum>
  <w:abstractNum w:abstractNumId="11" w15:restartNumberingAfterBreak="0">
    <w:nsid w:val="0000001E"/>
    <w:multiLevelType w:val="singleLevel"/>
    <w:tmpl w:val="0000001E"/>
    <w:name w:val="WW8Num30"/>
    <w:lvl w:ilvl="0">
      <w:start w:val="1"/>
      <w:numFmt w:val="bullet"/>
      <w:lvlText w:val="-"/>
      <w:lvlJc w:val="left"/>
      <w:pPr>
        <w:tabs>
          <w:tab w:val="num" w:pos="1068"/>
        </w:tabs>
      </w:pPr>
      <w:rPr>
        <w:rFonts w:ascii="Times New Roman" w:hAnsi="Times New Roman"/>
      </w:rPr>
    </w:lvl>
  </w:abstractNum>
  <w:abstractNum w:abstractNumId="12" w15:restartNumberingAfterBreak="0">
    <w:nsid w:val="0000001F"/>
    <w:multiLevelType w:val="singleLevel"/>
    <w:tmpl w:val="0000001F"/>
    <w:name w:val="WW8Num31"/>
    <w:lvl w:ilvl="0">
      <w:start w:val="1"/>
      <w:numFmt w:val="bullet"/>
      <w:lvlText w:val=""/>
      <w:lvlJc w:val="left"/>
      <w:pPr>
        <w:tabs>
          <w:tab w:val="num" w:pos="1021"/>
        </w:tabs>
      </w:pPr>
      <w:rPr>
        <w:rFonts w:ascii="Symbol" w:hAnsi="Symbol"/>
      </w:rPr>
    </w:lvl>
  </w:abstractNum>
  <w:abstractNum w:abstractNumId="13" w15:restartNumberingAfterBreak="0">
    <w:nsid w:val="00000023"/>
    <w:multiLevelType w:val="singleLevel"/>
    <w:tmpl w:val="00000023"/>
    <w:name w:val="WW8Num35"/>
    <w:lvl w:ilvl="0">
      <w:start w:val="4"/>
      <w:numFmt w:val="bullet"/>
      <w:lvlText w:val="-"/>
      <w:lvlJc w:val="left"/>
      <w:pPr>
        <w:tabs>
          <w:tab w:val="num" w:pos="720"/>
        </w:tabs>
      </w:pPr>
      <w:rPr>
        <w:rFonts w:ascii="Times New Roman" w:hAnsi="Times New Roman"/>
      </w:rPr>
    </w:lvl>
  </w:abstractNum>
  <w:abstractNum w:abstractNumId="14" w15:restartNumberingAfterBreak="0">
    <w:nsid w:val="00000024"/>
    <w:multiLevelType w:val="multilevel"/>
    <w:tmpl w:val="00000024"/>
    <w:name w:val="WW8Num36"/>
    <w:lvl w:ilvl="0">
      <w:start w:val="1"/>
      <w:numFmt w:val="bullet"/>
      <w:lvlText w:val=""/>
      <w:lvlJc w:val="left"/>
      <w:pPr>
        <w:tabs>
          <w:tab w:val="num" w:pos="720"/>
        </w:tabs>
      </w:pPr>
      <w:rPr>
        <w:rFonts w:ascii="Symbol" w:hAnsi="Symbol"/>
      </w:rPr>
    </w:lvl>
    <w:lvl w:ilvl="1">
      <w:start w:val="1"/>
      <w:numFmt w:val="lowerLetter"/>
      <w:lvlText w:val="%2."/>
      <w:lvlJc w:val="left"/>
      <w:pPr>
        <w:tabs>
          <w:tab w:val="num" w:pos="1440"/>
        </w:tabs>
      </w:pPr>
    </w:lvl>
    <w:lvl w:ilvl="2">
      <w:start w:val="1"/>
      <w:numFmt w:val="lowerLetter"/>
      <w:lvlText w:val="%3)"/>
      <w:lvlJc w:val="left"/>
      <w:pPr>
        <w:tabs>
          <w:tab w:val="num" w:pos="2160"/>
        </w:tabs>
      </w:p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5" w15:restartNumberingAfterBreak="0">
    <w:nsid w:val="00000025"/>
    <w:multiLevelType w:val="multilevel"/>
    <w:tmpl w:val="00000025"/>
    <w:name w:val="WW8Num3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lvl>
    <w:lvl w:ilvl="2">
      <w:start w:val="1"/>
      <w:numFmt w:val="lowerLetter"/>
      <w:lvlText w:val="%3)"/>
      <w:lvlJc w:val="left"/>
      <w:pPr>
        <w:tabs>
          <w:tab w:val="num" w:pos="2160"/>
        </w:tabs>
      </w:p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16" w15:restartNumberingAfterBreak="0">
    <w:nsid w:val="00000027"/>
    <w:multiLevelType w:val="singleLevel"/>
    <w:tmpl w:val="00000027"/>
    <w:name w:val="WW8Num39"/>
    <w:lvl w:ilvl="0">
      <w:start w:val="1"/>
      <w:numFmt w:val="lowerLetter"/>
      <w:lvlText w:val="%1."/>
      <w:lvlJc w:val="left"/>
      <w:pPr>
        <w:tabs>
          <w:tab w:val="num" w:pos="680"/>
        </w:tabs>
      </w:pPr>
    </w:lvl>
  </w:abstractNum>
  <w:abstractNum w:abstractNumId="17" w15:restartNumberingAfterBreak="0">
    <w:nsid w:val="0000002E"/>
    <w:multiLevelType w:val="multilevel"/>
    <w:tmpl w:val="0000002E"/>
    <w:name w:val="WW8Num46"/>
    <w:lvl w:ilvl="0">
      <w:start w:val="1"/>
      <w:numFmt w:val="lowerLetter"/>
      <w:lvlText w:val="%1)"/>
      <w:lvlJc w:val="left"/>
      <w:pPr>
        <w:tabs>
          <w:tab w:val="num" w:pos="681"/>
        </w:tabs>
      </w:pPr>
    </w:lvl>
    <w:lvl w:ilvl="1">
      <w:start w:val="1"/>
      <w:numFmt w:val="bullet"/>
      <w:lvlText w:val="-"/>
      <w:lvlJc w:val="left"/>
      <w:pPr>
        <w:tabs>
          <w:tab w:val="num" w:pos="1021"/>
        </w:tabs>
      </w:pPr>
      <w:rPr>
        <w:rFonts w:ascii="Times New Roman" w:hAnsi="Times New Roman"/>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8" w15:restartNumberingAfterBreak="0">
    <w:nsid w:val="00000032"/>
    <w:multiLevelType w:val="multilevel"/>
    <w:tmpl w:val="00000032"/>
    <w:name w:val="WW8Num50"/>
    <w:lvl w:ilvl="0">
      <w:start w:val="1"/>
      <w:numFmt w:val="decimal"/>
      <w:lvlText w:val="%1."/>
      <w:lvlJc w:val="left"/>
      <w:pPr>
        <w:tabs>
          <w:tab w:val="num" w:pos="340"/>
        </w:tabs>
      </w:pPr>
    </w:lvl>
    <w:lvl w:ilvl="1">
      <w:start w:val="1"/>
      <w:numFmt w:val="lowerLetter"/>
      <w:lvlText w:val="%2)"/>
      <w:lvlJc w:val="left"/>
      <w:pPr>
        <w:tabs>
          <w:tab w:val="num" w:pos="567"/>
        </w:tabs>
      </w:pPr>
    </w:lvl>
    <w:lvl w:ilvl="2">
      <w:start w:val="1"/>
      <w:numFmt w:val="upperLetter"/>
      <w:lvlText w:val="%3)"/>
      <w:lvlJc w:val="left"/>
      <w:pPr>
        <w:tabs>
          <w:tab w:val="num" w:pos="34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9" w15:restartNumberingAfterBreak="0">
    <w:nsid w:val="00000033"/>
    <w:multiLevelType w:val="singleLevel"/>
    <w:tmpl w:val="00000033"/>
    <w:name w:val="WW8Num51"/>
    <w:lvl w:ilvl="0">
      <w:start w:val="1"/>
      <w:numFmt w:val="bullet"/>
      <w:lvlText w:val=""/>
      <w:lvlJc w:val="left"/>
      <w:pPr>
        <w:tabs>
          <w:tab w:val="num" w:pos="680"/>
        </w:tabs>
      </w:pPr>
      <w:rPr>
        <w:rFonts w:ascii="Symbol" w:hAnsi="Symbol"/>
      </w:rPr>
    </w:lvl>
  </w:abstractNum>
  <w:abstractNum w:abstractNumId="20" w15:restartNumberingAfterBreak="0">
    <w:nsid w:val="00000039"/>
    <w:multiLevelType w:val="multilevel"/>
    <w:tmpl w:val="00000039"/>
    <w:name w:val="WW8Num5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lvl>
    <w:lvl w:ilvl="2">
      <w:start w:val="1"/>
      <w:numFmt w:val="lowerLetter"/>
      <w:lvlText w:val="%3)"/>
      <w:lvlJc w:val="left"/>
      <w:pPr>
        <w:tabs>
          <w:tab w:val="num" w:pos="2160"/>
        </w:tabs>
      </w:p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21" w15:restartNumberingAfterBreak="0">
    <w:nsid w:val="00000042"/>
    <w:multiLevelType w:val="singleLevel"/>
    <w:tmpl w:val="00000042"/>
    <w:name w:val="WW8Num66"/>
    <w:lvl w:ilvl="0">
      <w:start w:val="1"/>
      <w:numFmt w:val="bullet"/>
      <w:lvlText w:val=""/>
      <w:lvlJc w:val="left"/>
      <w:pPr>
        <w:tabs>
          <w:tab w:val="num" w:pos="680"/>
        </w:tabs>
      </w:pPr>
      <w:rPr>
        <w:rFonts w:ascii="Symbol" w:hAnsi="Symbol"/>
      </w:rPr>
    </w:lvl>
  </w:abstractNum>
  <w:abstractNum w:abstractNumId="22" w15:restartNumberingAfterBreak="0">
    <w:nsid w:val="00000043"/>
    <w:multiLevelType w:val="singleLevel"/>
    <w:tmpl w:val="00000043"/>
    <w:name w:val="WW8Num67"/>
    <w:lvl w:ilvl="0">
      <w:start w:val="1"/>
      <w:numFmt w:val="bullet"/>
      <w:lvlText w:val=""/>
      <w:lvlJc w:val="left"/>
      <w:pPr>
        <w:tabs>
          <w:tab w:val="num" w:pos="680"/>
        </w:tabs>
      </w:pPr>
      <w:rPr>
        <w:rFonts w:ascii="Symbol" w:hAnsi="Symbol" w:cs="Times New Roman"/>
      </w:rPr>
    </w:lvl>
  </w:abstractNum>
  <w:abstractNum w:abstractNumId="23" w15:restartNumberingAfterBreak="0">
    <w:nsid w:val="00000049"/>
    <w:multiLevelType w:val="singleLevel"/>
    <w:tmpl w:val="00000049"/>
    <w:name w:val="WW8Num73"/>
    <w:lvl w:ilvl="0">
      <w:start w:val="1"/>
      <w:numFmt w:val="lowerLetter"/>
      <w:lvlText w:val="%1)"/>
      <w:lvlJc w:val="left"/>
      <w:pPr>
        <w:tabs>
          <w:tab w:val="num" w:pos="680"/>
        </w:tabs>
      </w:pPr>
    </w:lvl>
  </w:abstractNum>
  <w:abstractNum w:abstractNumId="24" w15:restartNumberingAfterBreak="0">
    <w:nsid w:val="0000004C"/>
    <w:multiLevelType w:val="singleLevel"/>
    <w:tmpl w:val="0000004C"/>
    <w:name w:val="WW8Num76"/>
    <w:lvl w:ilvl="0">
      <w:start w:val="1"/>
      <w:numFmt w:val="lowerLetter"/>
      <w:lvlText w:val="%1)"/>
      <w:lvlJc w:val="left"/>
      <w:pPr>
        <w:tabs>
          <w:tab w:val="num" w:pos="1134"/>
        </w:tabs>
      </w:pPr>
    </w:lvl>
  </w:abstractNum>
  <w:abstractNum w:abstractNumId="25" w15:restartNumberingAfterBreak="0">
    <w:nsid w:val="00000058"/>
    <w:multiLevelType w:val="singleLevel"/>
    <w:tmpl w:val="00000058"/>
    <w:name w:val="WW8Num88"/>
    <w:lvl w:ilvl="0">
      <w:start w:val="1"/>
      <w:numFmt w:val="lowerLetter"/>
      <w:lvlText w:val="%1)"/>
      <w:lvlJc w:val="left"/>
      <w:pPr>
        <w:tabs>
          <w:tab w:val="num" w:pos="1021"/>
        </w:tabs>
      </w:pPr>
    </w:lvl>
  </w:abstractNum>
  <w:abstractNum w:abstractNumId="26" w15:restartNumberingAfterBreak="0">
    <w:nsid w:val="0000005B"/>
    <w:multiLevelType w:val="singleLevel"/>
    <w:tmpl w:val="0000005B"/>
    <w:name w:val="WW8Num91"/>
    <w:lvl w:ilvl="0">
      <w:start w:val="1"/>
      <w:numFmt w:val="lowerLetter"/>
      <w:lvlText w:val="%1)"/>
      <w:lvlJc w:val="left"/>
      <w:pPr>
        <w:tabs>
          <w:tab w:val="num" w:pos="681"/>
        </w:tabs>
      </w:pPr>
    </w:lvl>
  </w:abstractNum>
  <w:abstractNum w:abstractNumId="27" w15:restartNumberingAfterBreak="0">
    <w:nsid w:val="0000005C"/>
    <w:multiLevelType w:val="singleLevel"/>
    <w:tmpl w:val="0000005C"/>
    <w:name w:val="WW8Num92"/>
    <w:lvl w:ilvl="0">
      <w:start w:val="3"/>
      <w:numFmt w:val="bullet"/>
      <w:lvlText w:val="-"/>
      <w:lvlJc w:val="left"/>
      <w:pPr>
        <w:tabs>
          <w:tab w:val="num" w:pos="360"/>
        </w:tabs>
      </w:pPr>
      <w:rPr>
        <w:rFonts w:ascii="Times New Roman" w:hAnsi="Times New Roman"/>
      </w:rPr>
    </w:lvl>
  </w:abstractNum>
  <w:abstractNum w:abstractNumId="28" w15:restartNumberingAfterBreak="0">
    <w:nsid w:val="00000060"/>
    <w:multiLevelType w:val="multilevel"/>
    <w:tmpl w:val="00000060"/>
    <w:name w:val="WW8Num96"/>
    <w:lvl w:ilvl="0">
      <w:start w:val="1"/>
      <w:numFmt w:val="bullet"/>
      <w:lvlText w:val=""/>
      <w:lvlJc w:val="left"/>
      <w:pPr>
        <w:tabs>
          <w:tab w:val="num" w:pos="680"/>
        </w:tabs>
      </w:pPr>
      <w:rPr>
        <w:rFonts w:ascii="Wingdings" w:hAnsi="Wingdings" w:cs="Times New Roman"/>
      </w:rPr>
    </w:lvl>
    <w:lvl w:ilvl="1">
      <w:start w:val="1"/>
      <w:numFmt w:val="lowerLetter"/>
      <w:lvlText w:val="%2."/>
      <w:lvlJc w:val="left"/>
      <w:pPr>
        <w:tabs>
          <w:tab w:val="num" w:pos="1440"/>
        </w:tabs>
      </w:pPr>
    </w:lvl>
    <w:lvl w:ilvl="2">
      <w:start w:val="1"/>
      <w:numFmt w:val="lowerLetter"/>
      <w:lvlText w:val="%3)"/>
      <w:lvlJc w:val="left"/>
      <w:pPr>
        <w:tabs>
          <w:tab w:val="num" w:pos="2160"/>
        </w:tabs>
      </w:p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cs="Times New Roman"/>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cs="Times New Roman"/>
      </w:rPr>
    </w:lvl>
  </w:abstractNum>
  <w:abstractNum w:abstractNumId="29" w15:restartNumberingAfterBreak="0">
    <w:nsid w:val="00000061"/>
    <w:multiLevelType w:val="singleLevel"/>
    <w:tmpl w:val="00000061"/>
    <w:name w:val="WW8Num97"/>
    <w:lvl w:ilvl="0">
      <w:start w:val="1"/>
      <w:numFmt w:val="bullet"/>
      <w:lvlText w:val="-"/>
      <w:lvlJc w:val="left"/>
      <w:pPr>
        <w:tabs>
          <w:tab w:val="num" w:pos="680"/>
        </w:tabs>
      </w:pPr>
      <w:rPr>
        <w:rFonts w:ascii="Times New Roman" w:hAnsi="Times New Roman" w:cs="Times New Roman"/>
      </w:rPr>
    </w:lvl>
  </w:abstractNum>
  <w:abstractNum w:abstractNumId="30" w15:restartNumberingAfterBreak="0">
    <w:nsid w:val="00000062"/>
    <w:multiLevelType w:val="singleLevel"/>
    <w:tmpl w:val="00000062"/>
    <w:name w:val="WW8Num98"/>
    <w:lvl w:ilvl="0">
      <w:start w:val="1"/>
      <w:numFmt w:val="bullet"/>
      <w:lvlText w:val="-"/>
      <w:lvlJc w:val="left"/>
      <w:pPr>
        <w:tabs>
          <w:tab w:val="num" w:pos="1021"/>
        </w:tabs>
      </w:pPr>
      <w:rPr>
        <w:rFonts w:ascii="Times New Roman" w:hAnsi="Times New Roman" w:cs="Times New Roman"/>
      </w:rPr>
    </w:lvl>
  </w:abstractNum>
  <w:abstractNum w:abstractNumId="31" w15:restartNumberingAfterBreak="0">
    <w:nsid w:val="00000064"/>
    <w:multiLevelType w:val="singleLevel"/>
    <w:tmpl w:val="00000064"/>
    <w:name w:val="WW8Num100"/>
    <w:lvl w:ilvl="0">
      <w:start w:val="1"/>
      <w:numFmt w:val="bullet"/>
      <w:lvlText w:val="-"/>
      <w:lvlJc w:val="left"/>
      <w:pPr>
        <w:tabs>
          <w:tab w:val="num" w:pos="1021"/>
        </w:tabs>
      </w:pPr>
      <w:rPr>
        <w:rFonts w:ascii="Times New Roman" w:hAnsi="Times New Roman" w:cs="Times New Roman"/>
      </w:rPr>
    </w:lvl>
  </w:abstractNum>
  <w:abstractNum w:abstractNumId="32" w15:restartNumberingAfterBreak="0">
    <w:nsid w:val="00000065"/>
    <w:multiLevelType w:val="singleLevel"/>
    <w:tmpl w:val="00000065"/>
    <w:name w:val="WW8Num101"/>
    <w:lvl w:ilvl="0">
      <w:start w:val="1"/>
      <w:numFmt w:val="bullet"/>
      <w:lvlText w:val="-"/>
      <w:lvlJc w:val="left"/>
      <w:pPr>
        <w:tabs>
          <w:tab w:val="num" w:pos="1021"/>
        </w:tabs>
      </w:pPr>
      <w:rPr>
        <w:rFonts w:ascii="Times New Roman" w:hAnsi="Times New Roman" w:cs="Times New Roman"/>
      </w:rPr>
    </w:lvl>
  </w:abstractNum>
  <w:abstractNum w:abstractNumId="33" w15:restartNumberingAfterBreak="0">
    <w:nsid w:val="00000066"/>
    <w:multiLevelType w:val="singleLevel"/>
    <w:tmpl w:val="00000066"/>
    <w:name w:val="WW8Num102"/>
    <w:lvl w:ilvl="0">
      <w:start w:val="1"/>
      <w:numFmt w:val="bullet"/>
      <w:lvlText w:val="-"/>
      <w:lvlJc w:val="left"/>
      <w:pPr>
        <w:tabs>
          <w:tab w:val="num" w:pos="1021"/>
        </w:tabs>
      </w:pPr>
      <w:rPr>
        <w:rFonts w:ascii="Times New Roman" w:hAnsi="Times New Roman"/>
        <w:b w:val="0"/>
        <w:i w:val="0"/>
        <w:caps w:val="0"/>
        <w:smallCaps w:val="0"/>
        <w:strike w:val="0"/>
        <w:dstrike w:val="0"/>
        <w:vanish w:val="0"/>
        <w:position w:val="0"/>
        <w:sz w:val="22"/>
        <w:vertAlign w:val="baseline"/>
      </w:rPr>
    </w:lvl>
  </w:abstractNum>
  <w:abstractNum w:abstractNumId="34" w15:restartNumberingAfterBreak="0">
    <w:nsid w:val="00000068"/>
    <w:multiLevelType w:val="multilevel"/>
    <w:tmpl w:val="00000068"/>
    <w:name w:val="WW8Num104"/>
    <w:lvl w:ilvl="0">
      <w:start w:val="1"/>
      <w:numFmt w:val="bullet"/>
      <w:lvlText w:val=""/>
      <w:lvlJc w:val="left"/>
      <w:pPr>
        <w:tabs>
          <w:tab w:val="num" w:pos="680"/>
        </w:tabs>
      </w:pPr>
      <w:rPr>
        <w:rFonts w:ascii="Symbol" w:hAnsi="Symbol"/>
      </w:rPr>
    </w:lvl>
    <w:lvl w:ilvl="1">
      <w:start w:val="1"/>
      <w:numFmt w:val="bullet"/>
      <w:lvlText w:val="-"/>
      <w:lvlJc w:val="left"/>
      <w:pPr>
        <w:tabs>
          <w:tab w:val="num" w:pos="1021"/>
        </w:tabs>
      </w:pPr>
      <w:rPr>
        <w:rFonts w:ascii="Times New Roman" w:hAnsi="Times New Roman" w:cs="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5" w15:restartNumberingAfterBreak="0">
    <w:nsid w:val="00000069"/>
    <w:multiLevelType w:val="multilevel"/>
    <w:tmpl w:val="00000069"/>
    <w:name w:val="WW8Num105"/>
    <w:lvl w:ilvl="0">
      <w:start w:val="1"/>
      <w:numFmt w:val="bullet"/>
      <w:lvlText w:val=""/>
      <w:lvlJc w:val="left"/>
      <w:pPr>
        <w:tabs>
          <w:tab w:val="num" w:pos="397"/>
        </w:tabs>
      </w:pPr>
      <w:rPr>
        <w:rFonts w:ascii="Wingdings" w:hAnsi="Wingdings"/>
      </w:rPr>
    </w:lvl>
    <w:lvl w:ilvl="1">
      <w:start w:val="1"/>
      <w:numFmt w:val="bullet"/>
      <w:lvlText w:val=""/>
      <w:lvlJc w:val="left"/>
      <w:pPr>
        <w:tabs>
          <w:tab w:val="num" w:pos="680"/>
        </w:tabs>
      </w:pPr>
      <w:rPr>
        <w:rFonts w:ascii="Wingdings" w:hAnsi="Wingdings"/>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6" w15:restartNumberingAfterBreak="0">
    <w:nsid w:val="0000006B"/>
    <w:multiLevelType w:val="singleLevel"/>
    <w:tmpl w:val="0000006B"/>
    <w:name w:val="WW8Num107"/>
    <w:lvl w:ilvl="0">
      <w:start w:val="1"/>
      <w:numFmt w:val="bullet"/>
      <w:lvlText w:val=""/>
      <w:lvlJc w:val="left"/>
      <w:pPr>
        <w:tabs>
          <w:tab w:val="num" w:pos="680"/>
        </w:tabs>
      </w:pPr>
      <w:rPr>
        <w:rFonts w:ascii="Symbol" w:hAnsi="Symbol"/>
      </w:rPr>
    </w:lvl>
  </w:abstractNum>
  <w:abstractNum w:abstractNumId="37" w15:restartNumberingAfterBreak="0">
    <w:nsid w:val="0000006D"/>
    <w:multiLevelType w:val="singleLevel"/>
    <w:tmpl w:val="0000006D"/>
    <w:name w:val="WW8Num109"/>
    <w:lvl w:ilvl="0">
      <w:start w:val="1"/>
      <w:numFmt w:val="bullet"/>
      <w:lvlText w:val=""/>
      <w:lvlJc w:val="left"/>
      <w:pPr>
        <w:tabs>
          <w:tab w:val="num" w:pos="1021"/>
        </w:tabs>
      </w:pPr>
      <w:rPr>
        <w:rFonts w:ascii="Symbol" w:hAnsi="Symbol"/>
      </w:rPr>
    </w:lvl>
  </w:abstractNum>
  <w:abstractNum w:abstractNumId="38" w15:restartNumberingAfterBreak="0">
    <w:nsid w:val="00000070"/>
    <w:multiLevelType w:val="singleLevel"/>
    <w:tmpl w:val="00000070"/>
    <w:name w:val="WW8Num112"/>
    <w:lvl w:ilvl="0">
      <w:start w:val="1"/>
      <w:numFmt w:val="bullet"/>
      <w:lvlText w:val=""/>
      <w:lvlJc w:val="left"/>
      <w:pPr>
        <w:tabs>
          <w:tab w:val="num" w:pos="680"/>
        </w:tabs>
      </w:pPr>
      <w:rPr>
        <w:rFonts w:ascii="Symbol" w:hAnsi="Symbol"/>
      </w:rPr>
    </w:lvl>
  </w:abstractNum>
  <w:abstractNum w:abstractNumId="39" w15:restartNumberingAfterBreak="0">
    <w:nsid w:val="00000071"/>
    <w:multiLevelType w:val="singleLevel"/>
    <w:tmpl w:val="00000071"/>
    <w:name w:val="WW8Num113"/>
    <w:lvl w:ilvl="0">
      <w:start w:val="1"/>
      <w:numFmt w:val="bullet"/>
      <w:lvlText w:val=""/>
      <w:lvlJc w:val="left"/>
      <w:pPr>
        <w:tabs>
          <w:tab w:val="num" w:pos="680"/>
        </w:tabs>
      </w:pPr>
      <w:rPr>
        <w:rFonts w:ascii="Symbol" w:hAnsi="Symbol"/>
      </w:rPr>
    </w:lvl>
  </w:abstractNum>
  <w:abstractNum w:abstractNumId="40" w15:restartNumberingAfterBreak="0">
    <w:nsid w:val="00000072"/>
    <w:multiLevelType w:val="multilevel"/>
    <w:tmpl w:val="00000072"/>
    <w:name w:val="WW8Num114"/>
    <w:lvl w:ilvl="0">
      <w:start w:val="1"/>
      <w:numFmt w:val="decimal"/>
      <w:lvlText w:val="%1."/>
      <w:lvlJc w:val="left"/>
      <w:pPr>
        <w:tabs>
          <w:tab w:val="num" w:pos="397"/>
        </w:tabs>
      </w:pPr>
    </w:lvl>
    <w:lvl w:ilvl="1">
      <w:start w:val="1"/>
      <w:numFmt w:val="lowerLetter"/>
      <w:lvlText w:val="%2)"/>
      <w:lvlJc w:val="left"/>
      <w:pPr>
        <w:tabs>
          <w:tab w:val="num" w:pos="397"/>
        </w:tabs>
      </w:pPr>
    </w:lvl>
    <w:lvl w:ilvl="2">
      <w:start w:val="1"/>
      <w:numFmt w:val="lowerLetter"/>
      <w:lvlText w:val="%3)"/>
      <w:lvlJc w:val="left"/>
      <w:pPr>
        <w:tabs>
          <w:tab w:val="num" w:pos="1134"/>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41" w15:restartNumberingAfterBreak="0">
    <w:nsid w:val="00000075"/>
    <w:multiLevelType w:val="singleLevel"/>
    <w:tmpl w:val="00000075"/>
    <w:name w:val="WW8Num117"/>
    <w:lvl w:ilvl="0">
      <w:start w:val="1"/>
      <w:numFmt w:val="decimal"/>
      <w:lvlText w:val="%1."/>
      <w:lvlJc w:val="left"/>
      <w:pPr>
        <w:tabs>
          <w:tab w:val="num" w:pos="680"/>
        </w:tabs>
      </w:pPr>
      <w:rPr>
        <w:rFonts w:ascii="Wingdings" w:hAnsi="Wingdings"/>
      </w:rPr>
    </w:lvl>
  </w:abstractNum>
  <w:abstractNum w:abstractNumId="42" w15:restartNumberingAfterBreak="0">
    <w:nsid w:val="0000007E"/>
    <w:multiLevelType w:val="singleLevel"/>
    <w:tmpl w:val="0000007E"/>
    <w:name w:val="WW8Num126"/>
    <w:lvl w:ilvl="0">
      <w:start w:val="3"/>
      <w:numFmt w:val="bullet"/>
      <w:lvlText w:val="-"/>
      <w:lvlJc w:val="left"/>
      <w:pPr>
        <w:tabs>
          <w:tab w:val="num" w:pos="680"/>
        </w:tabs>
      </w:pPr>
      <w:rPr>
        <w:rFonts w:ascii="Times New Roman" w:hAnsi="Times New Roman" w:cs="Times New Roman"/>
      </w:rPr>
    </w:lvl>
  </w:abstractNum>
  <w:abstractNum w:abstractNumId="43" w15:restartNumberingAfterBreak="0">
    <w:nsid w:val="00000088"/>
    <w:multiLevelType w:val="singleLevel"/>
    <w:tmpl w:val="00000088"/>
    <w:name w:val="WW8Num136"/>
    <w:lvl w:ilvl="0">
      <w:start w:val="1"/>
      <w:numFmt w:val="bullet"/>
      <w:lvlText w:val="-"/>
      <w:lvlJc w:val="left"/>
      <w:pPr>
        <w:tabs>
          <w:tab w:val="num" w:pos="1134"/>
        </w:tabs>
      </w:pPr>
      <w:rPr>
        <w:rFonts w:ascii="Times New Roman" w:hAnsi="Times New Roman" w:cs="Times New Roman"/>
      </w:rPr>
    </w:lvl>
  </w:abstractNum>
  <w:abstractNum w:abstractNumId="44" w15:restartNumberingAfterBreak="0">
    <w:nsid w:val="00000089"/>
    <w:multiLevelType w:val="multilevel"/>
    <w:tmpl w:val="00000089"/>
    <w:name w:val="WW8Num137"/>
    <w:lvl w:ilvl="0">
      <w:start w:val="1"/>
      <w:numFmt w:val="decimal"/>
      <w:lvlText w:val="%1."/>
      <w:lvlJc w:val="left"/>
      <w:pPr>
        <w:tabs>
          <w:tab w:val="num" w:pos="340"/>
        </w:tabs>
      </w:pPr>
    </w:lvl>
    <w:lvl w:ilvl="1">
      <w:start w:val="1"/>
      <w:numFmt w:val="lowerLetter"/>
      <w:lvlText w:val="%2)"/>
      <w:lvlJc w:val="left"/>
      <w:pPr>
        <w:tabs>
          <w:tab w:val="num" w:pos="567"/>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45" w15:restartNumberingAfterBreak="0">
    <w:nsid w:val="0000008A"/>
    <w:multiLevelType w:val="singleLevel"/>
    <w:tmpl w:val="0000008A"/>
    <w:name w:val="WW8Num138"/>
    <w:lvl w:ilvl="0">
      <w:start w:val="1"/>
      <w:numFmt w:val="bullet"/>
      <w:lvlText w:val=""/>
      <w:lvlJc w:val="left"/>
      <w:pPr>
        <w:tabs>
          <w:tab w:val="num" w:pos="680"/>
        </w:tabs>
      </w:pPr>
      <w:rPr>
        <w:rFonts w:ascii="Symbol" w:hAnsi="Symbol"/>
      </w:rPr>
    </w:lvl>
  </w:abstractNum>
  <w:abstractNum w:abstractNumId="46" w15:restartNumberingAfterBreak="0">
    <w:nsid w:val="00000090"/>
    <w:multiLevelType w:val="multilevel"/>
    <w:tmpl w:val="00000090"/>
    <w:name w:val="WW8Num144"/>
    <w:lvl w:ilvl="0">
      <w:start w:val="1"/>
      <w:numFmt w:val="bullet"/>
      <w:lvlText w:val=""/>
      <w:lvlJc w:val="left"/>
      <w:pPr>
        <w:tabs>
          <w:tab w:val="num" w:pos="720"/>
        </w:tabs>
      </w:pPr>
      <w:rPr>
        <w:rFonts w:ascii="Wingdings" w:hAnsi="Wingdings"/>
      </w:rPr>
    </w:lvl>
    <w:lvl w:ilvl="1">
      <w:start w:val="1"/>
      <w:numFmt w:val="decimal"/>
      <w:lvlText w:val="%2."/>
      <w:lvlJc w:val="left"/>
      <w:pPr>
        <w:tabs>
          <w:tab w:val="num" w:pos="680"/>
        </w:tabs>
      </w:pPr>
      <w:rPr>
        <w:b w:val="0"/>
        <w:i w:val="0"/>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7" w15:restartNumberingAfterBreak="0">
    <w:nsid w:val="00000093"/>
    <w:multiLevelType w:val="singleLevel"/>
    <w:tmpl w:val="00000093"/>
    <w:name w:val="WW8Num147"/>
    <w:lvl w:ilvl="0">
      <w:start w:val="1"/>
      <w:numFmt w:val="bullet"/>
      <w:lvlText w:val=""/>
      <w:lvlJc w:val="left"/>
      <w:pPr>
        <w:tabs>
          <w:tab w:val="num" w:pos="680"/>
        </w:tabs>
      </w:pPr>
      <w:rPr>
        <w:rFonts w:ascii="Symbol" w:hAnsi="Symbol"/>
      </w:rPr>
    </w:lvl>
  </w:abstractNum>
  <w:abstractNum w:abstractNumId="48" w15:restartNumberingAfterBreak="0">
    <w:nsid w:val="00000094"/>
    <w:multiLevelType w:val="singleLevel"/>
    <w:tmpl w:val="00000094"/>
    <w:name w:val="WW8Num148"/>
    <w:lvl w:ilvl="0">
      <w:start w:val="1"/>
      <w:numFmt w:val="bullet"/>
      <w:lvlText w:val="-"/>
      <w:lvlJc w:val="left"/>
      <w:pPr>
        <w:tabs>
          <w:tab w:val="num" w:pos="1134"/>
        </w:tabs>
      </w:pPr>
      <w:rPr>
        <w:rFonts w:ascii="Times New Roman" w:hAnsi="Times New Roman" w:cs="Times New Roman"/>
      </w:rPr>
    </w:lvl>
  </w:abstractNum>
  <w:abstractNum w:abstractNumId="49" w15:restartNumberingAfterBreak="0">
    <w:nsid w:val="0000009A"/>
    <w:multiLevelType w:val="singleLevel"/>
    <w:tmpl w:val="0000009A"/>
    <w:name w:val="WW8Num154"/>
    <w:lvl w:ilvl="0">
      <w:start w:val="3"/>
      <w:numFmt w:val="bullet"/>
      <w:lvlText w:val="-"/>
      <w:lvlJc w:val="left"/>
      <w:pPr>
        <w:tabs>
          <w:tab w:val="num" w:pos="680"/>
        </w:tabs>
      </w:pPr>
      <w:rPr>
        <w:rFonts w:ascii="Times New Roman" w:hAnsi="Times New Roman" w:cs="Times New Roman"/>
      </w:rPr>
    </w:lvl>
  </w:abstractNum>
  <w:abstractNum w:abstractNumId="50" w15:restartNumberingAfterBreak="0">
    <w:nsid w:val="0000009B"/>
    <w:multiLevelType w:val="singleLevel"/>
    <w:tmpl w:val="0000009B"/>
    <w:name w:val="WW8Num155"/>
    <w:lvl w:ilvl="0">
      <w:start w:val="1"/>
      <w:numFmt w:val="bullet"/>
      <w:lvlText w:val=""/>
      <w:lvlJc w:val="left"/>
      <w:pPr>
        <w:tabs>
          <w:tab w:val="num" w:pos="680"/>
        </w:tabs>
      </w:pPr>
      <w:rPr>
        <w:rFonts w:ascii="Symbol" w:hAnsi="Symbol"/>
      </w:rPr>
    </w:lvl>
  </w:abstractNum>
  <w:abstractNum w:abstractNumId="51" w15:restartNumberingAfterBreak="0">
    <w:nsid w:val="0000009C"/>
    <w:multiLevelType w:val="singleLevel"/>
    <w:tmpl w:val="0000009C"/>
    <w:name w:val="WW8Num156"/>
    <w:lvl w:ilvl="0">
      <w:start w:val="1"/>
      <w:numFmt w:val="bullet"/>
      <w:lvlText w:val=""/>
      <w:lvlJc w:val="left"/>
      <w:pPr>
        <w:tabs>
          <w:tab w:val="num" w:pos="680"/>
        </w:tabs>
      </w:pPr>
      <w:rPr>
        <w:rFonts w:ascii="Symbol" w:hAnsi="Symbol"/>
      </w:rPr>
    </w:lvl>
  </w:abstractNum>
  <w:abstractNum w:abstractNumId="52" w15:restartNumberingAfterBreak="0">
    <w:nsid w:val="0000009D"/>
    <w:multiLevelType w:val="multilevel"/>
    <w:tmpl w:val="0000009D"/>
    <w:name w:val="WW8Num157"/>
    <w:lvl w:ilvl="0">
      <w:start w:val="3"/>
      <w:numFmt w:val="decimal"/>
      <w:lvlText w:val="%1."/>
      <w:lvlJc w:val="left"/>
      <w:pPr>
        <w:tabs>
          <w:tab w:val="num" w:pos="340"/>
        </w:tabs>
      </w:pPr>
    </w:lvl>
    <w:lvl w:ilvl="1">
      <w:start w:val="1"/>
      <w:numFmt w:val="lowerLetter"/>
      <w:lvlText w:val="%2)"/>
      <w:lvlJc w:val="left"/>
      <w:pPr>
        <w:tabs>
          <w:tab w:val="num" w:pos="68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53" w15:restartNumberingAfterBreak="0">
    <w:nsid w:val="0000009F"/>
    <w:multiLevelType w:val="singleLevel"/>
    <w:tmpl w:val="0000009F"/>
    <w:name w:val="WW8Num159"/>
    <w:lvl w:ilvl="0">
      <w:start w:val="1"/>
      <w:numFmt w:val="bullet"/>
      <w:lvlText w:val="-"/>
      <w:lvlJc w:val="left"/>
      <w:pPr>
        <w:tabs>
          <w:tab w:val="num" w:pos="1134"/>
        </w:tabs>
      </w:pPr>
      <w:rPr>
        <w:rFonts w:ascii="Times New Roman" w:hAnsi="Times New Roman" w:cs="Times New Roman"/>
      </w:rPr>
    </w:lvl>
  </w:abstractNum>
  <w:abstractNum w:abstractNumId="54" w15:restartNumberingAfterBreak="0">
    <w:nsid w:val="000000A1"/>
    <w:multiLevelType w:val="multilevel"/>
    <w:tmpl w:val="000000A1"/>
    <w:name w:val="WW8Num161"/>
    <w:lvl w:ilvl="0">
      <w:start w:val="6"/>
      <w:numFmt w:val="decimal"/>
      <w:lvlText w:val="%1."/>
      <w:lvlJc w:val="left"/>
      <w:pPr>
        <w:tabs>
          <w:tab w:val="num" w:pos="340"/>
        </w:tabs>
      </w:pPr>
    </w:lvl>
    <w:lvl w:ilvl="1">
      <w:start w:val="1"/>
      <w:numFmt w:val="lowerLetter"/>
      <w:lvlText w:val="%2)"/>
      <w:lvlJc w:val="left"/>
      <w:pPr>
        <w:tabs>
          <w:tab w:val="num" w:pos="567"/>
        </w:tabs>
      </w:pPr>
    </w:lvl>
    <w:lvl w:ilvl="2">
      <w:start w:val="6"/>
      <w:numFmt w:val="bullet"/>
      <w:lvlText w:val=""/>
      <w:lvlJc w:val="left"/>
      <w:pPr>
        <w:tabs>
          <w:tab w:val="num" w:pos="680"/>
        </w:tabs>
      </w:pPr>
      <w:rPr>
        <w:rFonts w:ascii="Symbol" w:hAnsi="Symbol"/>
        <w:color w:val="auto"/>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55" w15:restartNumberingAfterBreak="0">
    <w:nsid w:val="000000A2"/>
    <w:multiLevelType w:val="singleLevel"/>
    <w:tmpl w:val="000000A2"/>
    <w:name w:val="WW8Num162"/>
    <w:lvl w:ilvl="0">
      <w:start w:val="1"/>
      <w:numFmt w:val="bullet"/>
      <w:lvlText w:val="-"/>
      <w:lvlJc w:val="left"/>
      <w:pPr>
        <w:tabs>
          <w:tab w:val="num" w:pos="1021"/>
        </w:tabs>
      </w:pPr>
      <w:rPr>
        <w:rFonts w:ascii="Times New Roman" w:hAnsi="Times New Roman" w:cs="Times New Roman"/>
      </w:rPr>
    </w:lvl>
  </w:abstractNum>
  <w:abstractNum w:abstractNumId="56" w15:restartNumberingAfterBreak="0">
    <w:nsid w:val="02C86D56"/>
    <w:multiLevelType w:val="hybridMultilevel"/>
    <w:tmpl w:val="0570EC66"/>
    <w:lvl w:ilvl="0" w:tplc="041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03B97900"/>
    <w:multiLevelType w:val="hybridMultilevel"/>
    <w:tmpl w:val="867819E2"/>
    <w:lvl w:ilvl="0" w:tplc="04150009">
      <w:start w:val="1"/>
      <w:numFmt w:val="bullet"/>
      <w:lvlText w:val=""/>
      <w:lvlJc w:val="left"/>
      <w:pPr>
        <w:ind w:left="1080" w:hanging="360"/>
      </w:pPr>
      <w:rPr>
        <w:rFonts w:ascii="Wingdings" w:hAnsi="Wingding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58" w15:restartNumberingAfterBreak="0">
    <w:nsid w:val="0A7E2A09"/>
    <w:multiLevelType w:val="hybridMultilevel"/>
    <w:tmpl w:val="B75A7106"/>
    <w:lvl w:ilvl="0" w:tplc="80A0F026">
      <w:numFmt w:val="bullet"/>
      <w:pStyle w:val="Styl8"/>
      <w:lvlText w:val="-"/>
      <w:lvlJc w:val="left"/>
      <w:pPr>
        <w:tabs>
          <w:tab w:val="num" w:pos="720"/>
        </w:tabs>
        <w:ind w:left="720" w:hanging="360"/>
      </w:pPr>
      <w:rPr>
        <w:rFonts w:ascii="Times New Roman" w:eastAsia="Times New Roman" w:hAnsi="Times New Roman" w:hint="default"/>
        <w:b w:val="0"/>
        <w:i w:val="0"/>
        <w:color w:val="auto"/>
        <w:sz w:val="22"/>
      </w:rPr>
    </w:lvl>
    <w:lvl w:ilvl="1" w:tplc="04150011">
      <w:start w:val="1"/>
      <w:numFmt w:val="decimal"/>
      <w:lvlText w:val="%2)"/>
      <w:lvlJc w:val="left"/>
      <w:pPr>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9" w15:restartNumberingAfterBreak="0">
    <w:nsid w:val="0AF57A46"/>
    <w:multiLevelType w:val="hybridMultilevel"/>
    <w:tmpl w:val="57001660"/>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0CB6533F"/>
    <w:multiLevelType w:val="hybridMultilevel"/>
    <w:tmpl w:val="AC76A9CC"/>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0D9E1C96"/>
    <w:multiLevelType w:val="hybridMultilevel"/>
    <w:tmpl w:val="FCF4EA12"/>
    <w:lvl w:ilvl="0" w:tplc="04150017">
      <w:start w:val="1"/>
      <w:numFmt w:val="lowerLetter"/>
      <w:lvlText w:val="%1)"/>
      <w:lvlJc w:val="left"/>
      <w:pPr>
        <w:ind w:left="2340" w:hanging="360"/>
      </w:pPr>
    </w:lvl>
    <w:lvl w:ilvl="1" w:tplc="04150019" w:tentative="1">
      <w:start w:val="1"/>
      <w:numFmt w:val="lowerLetter"/>
      <w:lvlText w:val="%2."/>
      <w:lvlJc w:val="left"/>
      <w:pPr>
        <w:ind w:left="3060" w:hanging="360"/>
      </w:pPr>
    </w:lvl>
    <w:lvl w:ilvl="2" w:tplc="0415001B" w:tentative="1">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62" w15:restartNumberingAfterBreak="0">
    <w:nsid w:val="11D976D7"/>
    <w:multiLevelType w:val="hybridMultilevel"/>
    <w:tmpl w:val="CA9A0084"/>
    <w:lvl w:ilvl="0" w:tplc="04150011">
      <w:start w:val="1"/>
      <w:numFmt w:val="decimal"/>
      <w:lvlText w:val="%1)"/>
      <w:lvlJc w:val="left"/>
      <w:pPr>
        <w:ind w:left="792" w:hanging="360"/>
      </w:pPr>
    </w:lvl>
    <w:lvl w:ilvl="1" w:tplc="04150019" w:tentative="1">
      <w:start w:val="1"/>
      <w:numFmt w:val="lowerLetter"/>
      <w:lvlText w:val="%2."/>
      <w:lvlJc w:val="left"/>
      <w:pPr>
        <w:ind w:left="1512" w:hanging="360"/>
      </w:pPr>
    </w:lvl>
    <w:lvl w:ilvl="2" w:tplc="0415001B" w:tentative="1">
      <w:start w:val="1"/>
      <w:numFmt w:val="lowerRoman"/>
      <w:lvlText w:val="%3."/>
      <w:lvlJc w:val="right"/>
      <w:pPr>
        <w:ind w:left="2232" w:hanging="180"/>
      </w:pPr>
    </w:lvl>
    <w:lvl w:ilvl="3" w:tplc="0415000F" w:tentative="1">
      <w:start w:val="1"/>
      <w:numFmt w:val="decimal"/>
      <w:lvlText w:val="%4."/>
      <w:lvlJc w:val="left"/>
      <w:pPr>
        <w:ind w:left="2952" w:hanging="360"/>
      </w:pPr>
    </w:lvl>
    <w:lvl w:ilvl="4" w:tplc="04150019" w:tentative="1">
      <w:start w:val="1"/>
      <w:numFmt w:val="lowerLetter"/>
      <w:lvlText w:val="%5."/>
      <w:lvlJc w:val="left"/>
      <w:pPr>
        <w:ind w:left="3672" w:hanging="360"/>
      </w:pPr>
    </w:lvl>
    <w:lvl w:ilvl="5" w:tplc="0415001B" w:tentative="1">
      <w:start w:val="1"/>
      <w:numFmt w:val="lowerRoman"/>
      <w:lvlText w:val="%6."/>
      <w:lvlJc w:val="right"/>
      <w:pPr>
        <w:ind w:left="4392" w:hanging="180"/>
      </w:pPr>
    </w:lvl>
    <w:lvl w:ilvl="6" w:tplc="0415000F" w:tentative="1">
      <w:start w:val="1"/>
      <w:numFmt w:val="decimal"/>
      <w:lvlText w:val="%7."/>
      <w:lvlJc w:val="left"/>
      <w:pPr>
        <w:ind w:left="5112" w:hanging="360"/>
      </w:pPr>
    </w:lvl>
    <w:lvl w:ilvl="7" w:tplc="04150019" w:tentative="1">
      <w:start w:val="1"/>
      <w:numFmt w:val="lowerLetter"/>
      <w:lvlText w:val="%8."/>
      <w:lvlJc w:val="left"/>
      <w:pPr>
        <w:ind w:left="5832" w:hanging="360"/>
      </w:pPr>
    </w:lvl>
    <w:lvl w:ilvl="8" w:tplc="0415001B" w:tentative="1">
      <w:start w:val="1"/>
      <w:numFmt w:val="lowerRoman"/>
      <w:lvlText w:val="%9."/>
      <w:lvlJc w:val="right"/>
      <w:pPr>
        <w:ind w:left="6552" w:hanging="180"/>
      </w:pPr>
    </w:lvl>
  </w:abstractNum>
  <w:abstractNum w:abstractNumId="63" w15:restartNumberingAfterBreak="0">
    <w:nsid w:val="124A4885"/>
    <w:multiLevelType w:val="hybridMultilevel"/>
    <w:tmpl w:val="B0F4F5BE"/>
    <w:lvl w:ilvl="0" w:tplc="A47CA350">
      <w:numFmt w:val="bullet"/>
      <w:lvlText w:val="-"/>
      <w:lvlJc w:val="left"/>
      <w:pPr>
        <w:ind w:left="720" w:hanging="360"/>
      </w:pPr>
      <w:rPr>
        <w:rFonts w:ascii="Arial" w:eastAsia="Times New Roman"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188A268B"/>
    <w:multiLevelType w:val="hybridMultilevel"/>
    <w:tmpl w:val="FFBEC88C"/>
    <w:lvl w:ilvl="0" w:tplc="041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1A642EF7"/>
    <w:multiLevelType w:val="hybridMultilevel"/>
    <w:tmpl w:val="E8C09D2E"/>
    <w:lvl w:ilvl="0" w:tplc="59E4F254">
      <w:start w:val="1"/>
      <w:numFmt w:val="decimal"/>
      <w:lvlText w:val="%1)"/>
      <w:lvlJc w:val="left"/>
      <w:pPr>
        <w:tabs>
          <w:tab w:val="num" w:pos="720"/>
        </w:tabs>
        <w:ind w:left="720" w:hanging="360"/>
      </w:pPr>
      <w:rPr>
        <w:rFonts w:ascii="Calibri" w:hAnsi="Calibri" w:hint="default"/>
        <w:b w:val="0"/>
        <w:i w:val="0"/>
        <w:color w:val="auto"/>
        <w:sz w:val="22"/>
      </w:rPr>
    </w:lvl>
    <w:lvl w:ilvl="1" w:tplc="04150011">
      <w:start w:val="1"/>
      <w:numFmt w:val="decimal"/>
      <w:lvlText w:val="%2)"/>
      <w:lvlJc w:val="left"/>
      <w:pPr>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1BA53B97"/>
    <w:multiLevelType w:val="multilevel"/>
    <w:tmpl w:val="0415001D"/>
    <w:lvl w:ilvl="0">
      <w:start w:val="1"/>
      <w:numFmt w:val="decimal"/>
      <w:lvlText w:val="%1)"/>
      <w:lvlJc w:val="left"/>
      <w:pPr>
        <w:ind w:left="-775" w:hanging="360"/>
      </w:pPr>
      <w:rPr>
        <w:rFonts w:hint="default"/>
        <w:b w:val="0"/>
        <w:i w:val="0"/>
        <w:color w:val="auto"/>
        <w:sz w:val="22"/>
      </w:rPr>
    </w:lvl>
    <w:lvl w:ilvl="1">
      <w:start w:val="1"/>
      <w:numFmt w:val="lowerLetter"/>
      <w:lvlText w:val="%2)"/>
      <w:lvlJc w:val="left"/>
      <w:pPr>
        <w:ind w:left="-415" w:hanging="360"/>
      </w:pPr>
    </w:lvl>
    <w:lvl w:ilvl="2">
      <w:start w:val="1"/>
      <w:numFmt w:val="lowerRoman"/>
      <w:lvlText w:val="%3)"/>
      <w:lvlJc w:val="left"/>
      <w:pPr>
        <w:ind w:left="-55" w:hanging="360"/>
      </w:pPr>
    </w:lvl>
    <w:lvl w:ilvl="3">
      <w:start w:val="1"/>
      <w:numFmt w:val="decimal"/>
      <w:lvlText w:val="(%4)"/>
      <w:lvlJc w:val="left"/>
      <w:pPr>
        <w:ind w:left="305" w:hanging="360"/>
      </w:pPr>
    </w:lvl>
    <w:lvl w:ilvl="4">
      <w:start w:val="1"/>
      <w:numFmt w:val="lowerLetter"/>
      <w:lvlText w:val="(%5)"/>
      <w:lvlJc w:val="left"/>
      <w:pPr>
        <w:ind w:left="665" w:hanging="360"/>
      </w:pPr>
    </w:lvl>
    <w:lvl w:ilvl="5">
      <w:start w:val="1"/>
      <w:numFmt w:val="lowerRoman"/>
      <w:lvlText w:val="(%6)"/>
      <w:lvlJc w:val="left"/>
      <w:pPr>
        <w:ind w:left="1025" w:hanging="360"/>
      </w:pPr>
    </w:lvl>
    <w:lvl w:ilvl="6">
      <w:start w:val="1"/>
      <w:numFmt w:val="decimal"/>
      <w:lvlText w:val="%7."/>
      <w:lvlJc w:val="left"/>
      <w:pPr>
        <w:ind w:left="1385" w:hanging="360"/>
      </w:pPr>
    </w:lvl>
    <w:lvl w:ilvl="7">
      <w:start w:val="1"/>
      <w:numFmt w:val="lowerLetter"/>
      <w:lvlText w:val="%8."/>
      <w:lvlJc w:val="left"/>
      <w:pPr>
        <w:ind w:left="1745" w:hanging="360"/>
      </w:pPr>
    </w:lvl>
    <w:lvl w:ilvl="8">
      <w:start w:val="1"/>
      <w:numFmt w:val="lowerRoman"/>
      <w:lvlText w:val="%9."/>
      <w:lvlJc w:val="left"/>
      <w:pPr>
        <w:ind w:left="2105" w:hanging="360"/>
      </w:pPr>
    </w:lvl>
  </w:abstractNum>
  <w:abstractNum w:abstractNumId="67" w15:restartNumberingAfterBreak="0">
    <w:nsid w:val="1C2A2BCA"/>
    <w:multiLevelType w:val="hybridMultilevel"/>
    <w:tmpl w:val="4B00D3AA"/>
    <w:lvl w:ilvl="0" w:tplc="0415000F">
      <w:start w:val="1"/>
      <w:numFmt w:val="decimal"/>
      <w:lvlText w:val="%1."/>
      <w:lvlJc w:val="left"/>
      <w:pPr>
        <w:ind w:left="1106" w:hanging="360"/>
      </w:pPr>
    </w:lvl>
    <w:lvl w:ilvl="1" w:tplc="04150019">
      <w:start w:val="1"/>
      <w:numFmt w:val="lowerLetter"/>
      <w:lvlText w:val="%2."/>
      <w:lvlJc w:val="left"/>
      <w:pPr>
        <w:ind w:left="1826" w:hanging="360"/>
      </w:pPr>
    </w:lvl>
    <w:lvl w:ilvl="2" w:tplc="0415001B" w:tentative="1">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68" w15:restartNumberingAfterBreak="0">
    <w:nsid w:val="1C4A7C6E"/>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1E9A2D9A"/>
    <w:multiLevelType w:val="hybridMultilevel"/>
    <w:tmpl w:val="38F4339A"/>
    <w:lvl w:ilvl="0" w:tplc="04150001">
      <w:start w:val="1"/>
      <w:numFmt w:val="bullet"/>
      <w:lvlText w:val=""/>
      <w:lvlJc w:val="left"/>
      <w:pPr>
        <w:ind w:left="1068" w:hanging="360"/>
      </w:pPr>
      <w:rPr>
        <w:rFonts w:ascii="Symbol" w:hAnsi="Symbol" w:hint="default"/>
        <w:b w:val="0"/>
        <w:bCs w:val="0"/>
        <w:i w:val="0"/>
        <w:iCs w:val="0"/>
        <w:caps w:val="0"/>
        <w:strike w:val="0"/>
        <w:dstrike w:val="0"/>
        <w:vanish w:val="0"/>
        <w:color w:val="000000"/>
        <w:spacing w:val="0"/>
        <w:kern w:val="0"/>
        <w:position w:val="0"/>
        <w:sz w:val="22"/>
        <w:szCs w:val="24"/>
        <w:u w:val="none"/>
        <w:vertAlign w:val="baseline"/>
        <w:em w:val="none"/>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0" w15:restartNumberingAfterBreak="0">
    <w:nsid w:val="1F244EE0"/>
    <w:multiLevelType w:val="hybridMultilevel"/>
    <w:tmpl w:val="7D50E5D0"/>
    <w:lvl w:ilvl="0" w:tplc="F4FE5A4A">
      <w:start w:val="1"/>
      <w:numFmt w:val="decimal"/>
      <w:lvlText w:val="%1)"/>
      <w:lvlJc w:val="left"/>
      <w:pPr>
        <w:ind w:left="792" w:hanging="360"/>
      </w:pPr>
      <w:rPr>
        <w:rFonts w:hint="default"/>
      </w:rPr>
    </w:lvl>
    <w:lvl w:ilvl="1" w:tplc="04150019" w:tentative="1">
      <w:start w:val="1"/>
      <w:numFmt w:val="lowerLetter"/>
      <w:lvlText w:val="%2."/>
      <w:lvlJc w:val="left"/>
      <w:pPr>
        <w:ind w:left="1512" w:hanging="360"/>
      </w:pPr>
    </w:lvl>
    <w:lvl w:ilvl="2" w:tplc="0415001B" w:tentative="1">
      <w:start w:val="1"/>
      <w:numFmt w:val="lowerRoman"/>
      <w:lvlText w:val="%3."/>
      <w:lvlJc w:val="right"/>
      <w:pPr>
        <w:ind w:left="2232" w:hanging="180"/>
      </w:pPr>
    </w:lvl>
    <w:lvl w:ilvl="3" w:tplc="0415000F" w:tentative="1">
      <w:start w:val="1"/>
      <w:numFmt w:val="decimal"/>
      <w:lvlText w:val="%4."/>
      <w:lvlJc w:val="left"/>
      <w:pPr>
        <w:ind w:left="2952" w:hanging="360"/>
      </w:pPr>
    </w:lvl>
    <w:lvl w:ilvl="4" w:tplc="04150019" w:tentative="1">
      <w:start w:val="1"/>
      <w:numFmt w:val="lowerLetter"/>
      <w:lvlText w:val="%5."/>
      <w:lvlJc w:val="left"/>
      <w:pPr>
        <w:ind w:left="3672" w:hanging="360"/>
      </w:pPr>
    </w:lvl>
    <w:lvl w:ilvl="5" w:tplc="0415001B" w:tentative="1">
      <w:start w:val="1"/>
      <w:numFmt w:val="lowerRoman"/>
      <w:lvlText w:val="%6."/>
      <w:lvlJc w:val="right"/>
      <w:pPr>
        <w:ind w:left="4392" w:hanging="180"/>
      </w:pPr>
    </w:lvl>
    <w:lvl w:ilvl="6" w:tplc="0415000F" w:tentative="1">
      <w:start w:val="1"/>
      <w:numFmt w:val="decimal"/>
      <w:lvlText w:val="%7."/>
      <w:lvlJc w:val="left"/>
      <w:pPr>
        <w:ind w:left="5112" w:hanging="360"/>
      </w:pPr>
    </w:lvl>
    <w:lvl w:ilvl="7" w:tplc="04150019" w:tentative="1">
      <w:start w:val="1"/>
      <w:numFmt w:val="lowerLetter"/>
      <w:lvlText w:val="%8."/>
      <w:lvlJc w:val="left"/>
      <w:pPr>
        <w:ind w:left="5832" w:hanging="360"/>
      </w:pPr>
    </w:lvl>
    <w:lvl w:ilvl="8" w:tplc="0415001B" w:tentative="1">
      <w:start w:val="1"/>
      <w:numFmt w:val="lowerRoman"/>
      <w:lvlText w:val="%9."/>
      <w:lvlJc w:val="right"/>
      <w:pPr>
        <w:ind w:left="6552" w:hanging="180"/>
      </w:pPr>
    </w:lvl>
  </w:abstractNum>
  <w:abstractNum w:abstractNumId="71" w15:restartNumberingAfterBreak="0">
    <w:nsid w:val="217A01F3"/>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2" w15:restartNumberingAfterBreak="0">
    <w:nsid w:val="23842781"/>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25695D8F"/>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26B06AA2"/>
    <w:multiLevelType w:val="hybridMultilevel"/>
    <w:tmpl w:val="36F6CD70"/>
    <w:lvl w:ilvl="0" w:tplc="AC7A6530">
      <w:start w:val="1"/>
      <w:numFmt w:val="decimal"/>
      <w:lvlText w:val="%1)"/>
      <w:lvlJc w:val="left"/>
      <w:pPr>
        <w:ind w:left="720" w:hanging="360"/>
      </w:pPr>
      <w:rPr>
        <w:rFonts w:ascii="Calibri" w:hAnsi="Calibri" w:cs="Times New Roman" w:hint="default"/>
        <w:b w:val="0"/>
        <w:i w:val="0"/>
        <w:color w:val="auto"/>
        <w:sz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29387BF5"/>
    <w:multiLevelType w:val="hybridMultilevel"/>
    <w:tmpl w:val="9906E250"/>
    <w:lvl w:ilvl="0" w:tplc="04150011">
      <w:start w:val="1"/>
      <w:numFmt w:val="decimal"/>
      <w:lvlText w:val="%1)"/>
      <w:lvlJc w:val="left"/>
      <w:pPr>
        <w:ind w:left="720" w:hanging="360"/>
      </w:pPr>
      <w:rPr>
        <w:rFonts w:cs="Times New Roman" w:hint="default"/>
        <w:b w:val="0"/>
        <w:i w:val="0"/>
        <w:color w:val="auto"/>
        <w:sz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295A0EB7"/>
    <w:multiLevelType w:val="hybridMultilevel"/>
    <w:tmpl w:val="83304E14"/>
    <w:lvl w:ilvl="0" w:tplc="04150003">
      <w:start w:val="90"/>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2B6C0614"/>
    <w:multiLevelType w:val="hybridMultilevel"/>
    <w:tmpl w:val="FCF4EA12"/>
    <w:lvl w:ilvl="0" w:tplc="FFFFFFFF">
      <w:start w:val="1"/>
      <w:numFmt w:val="lowerLetter"/>
      <w:lvlText w:val="%1)"/>
      <w:lvlJc w:val="left"/>
      <w:pPr>
        <w:ind w:left="2340" w:hanging="360"/>
      </w:pPr>
    </w:lvl>
    <w:lvl w:ilvl="1" w:tplc="FFFFFFFF" w:tentative="1">
      <w:start w:val="1"/>
      <w:numFmt w:val="lowerLetter"/>
      <w:lvlText w:val="%2."/>
      <w:lvlJc w:val="left"/>
      <w:pPr>
        <w:ind w:left="3060" w:hanging="360"/>
      </w:pPr>
    </w:lvl>
    <w:lvl w:ilvl="2" w:tplc="FFFFFFFF" w:tentative="1">
      <w:start w:val="1"/>
      <w:numFmt w:val="lowerRoman"/>
      <w:lvlText w:val="%3."/>
      <w:lvlJc w:val="right"/>
      <w:pPr>
        <w:ind w:left="3780" w:hanging="180"/>
      </w:pPr>
    </w:lvl>
    <w:lvl w:ilvl="3" w:tplc="FFFFFFFF" w:tentative="1">
      <w:start w:val="1"/>
      <w:numFmt w:val="decimal"/>
      <w:lvlText w:val="%4."/>
      <w:lvlJc w:val="left"/>
      <w:pPr>
        <w:ind w:left="4500" w:hanging="360"/>
      </w:pPr>
    </w:lvl>
    <w:lvl w:ilvl="4" w:tplc="FFFFFFFF" w:tentative="1">
      <w:start w:val="1"/>
      <w:numFmt w:val="lowerLetter"/>
      <w:lvlText w:val="%5."/>
      <w:lvlJc w:val="left"/>
      <w:pPr>
        <w:ind w:left="5220" w:hanging="360"/>
      </w:pPr>
    </w:lvl>
    <w:lvl w:ilvl="5" w:tplc="FFFFFFFF" w:tentative="1">
      <w:start w:val="1"/>
      <w:numFmt w:val="lowerRoman"/>
      <w:lvlText w:val="%6."/>
      <w:lvlJc w:val="right"/>
      <w:pPr>
        <w:ind w:left="5940" w:hanging="180"/>
      </w:pPr>
    </w:lvl>
    <w:lvl w:ilvl="6" w:tplc="FFFFFFFF" w:tentative="1">
      <w:start w:val="1"/>
      <w:numFmt w:val="decimal"/>
      <w:lvlText w:val="%7."/>
      <w:lvlJc w:val="left"/>
      <w:pPr>
        <w:ind w:left="6660" w:hanging="360"/>
      </w:pPr>
    </w:lvl>
    <w:lvl w:ilvl="7" w:tplc="FFFFFFFF" w:tentative="1">
      <w:start w:val="1"/>
      <w:numFmt w:val="lowerLetter"/>
      <w:lvlText w:val="%8."/>
      <w:lvlJc w:val="left"/>
      <w:pPr>
        <w:ind w:left="7380" w:hanging="360"/>
      </w:pPr>
    </w:lvl>
    <w:lvl w:ilvl="8" w:tplc="FFFFFFFF" w:tentative="1">
      <w:start w:val="1"/>
      <w:numFmt w:val="lowerRoman"/>
      <w:lvlText w:val="%9."/>
      <w:lvlJc w:val="right"/>
      <w:pPr>
        <w:ind w:left="8100" w:hanging="180"/>
      </w:pPr>
    </w:lvl>
  </w:abstractNum>
  <w:abstractNum w:abstractNumId="78" w15:restartNumberingAfterBreak="0">
    <w:nsid w:val="2ED96BCB"/>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9" w15:restartNumberingAfterBreak="0">
    <w:nsid w:val="30B96DCF"/>
    <w:multiLevelType w:val="hybridMultilevel"/>
    <w:tmpl w:val="CF64BAA8"/>
    <w:lvl w:ilvl="0" w:tplc="AC7A6530">
      <w:start w:val="1"/>
      <w:numFmt w:val="decimal"/>
      <w:lvlText w:val="%1)"/>
      <w:lvlJc w:val="left"/>
      <w:pPr>
        <w:tabs>
          <w:tab w:val="num" w:pos="720"/>
        </w:tabs>
        <w:ind w:left="720" w:hanging="360"/>
      </w:pPr>
      <w:rPr>
        <w:rFonts w:ascii="Calibri" w:hAnsi="Calibri" w:hint="default"/>
        <w:b w:val="0"/>
        <w:i w:val="0"/>
        <w:color w:val="auto"/>
        <w:sz w:val="22"/>
      </w:rPr>
    </w:lvl>
    <w:lvl w:ilvl="1" w:tplc="04150011">
      <w:start w:val="1"/>
      <w:numFmt w:val="decimal"/>
      <w:lvlText w:val="%2)"/>
      <w:lvlJc w:val="left"/>
      <w:pPr>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319F52C5"/>
    <w:multiLevelType w:val="hybridMultilevel"/>
    <w:tmpl w:val="14626CF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4FC6650"/>
    <w:multiLevelType w:val="hybridMultilevel"/>
    <w:tmpl w:val="A7063DD0"/>
    <w:lvl w:ilvl="0" w:tplc="C730157A">
      <w:start w:val="1"/>
      <w:numFmt w:val="decimal"/>
      <w:pStyle w:val="Nagwek4"/>
      <w:lvlText w:val="%1)"/>
      <w:lvlJc w:val="left"/>
      <w:pPr>
        <w:ind w:left="720" w:hanging="360"/>
      </w:pPr>
      <w:rPr>
        <w:rFonts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39123874"/>
    <w:multiLevelType w:val="hybridMultilevel"/>
    <w:tmpl w:val="F0962FEE"/>
    <w:lvl w:ilvl="0" w:tplc="D57228FA">
      <w:start w:val="1"/>
      <w:numFmt w:val="bullet"/>
      <w:pStyle w:val="Punktowanie"/>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83" w15:restartNumberingAfterBreak="0">
    <w:nsid w:val="3D564AB5"/>
    <w:multiLevelType w:val="hybridMultilevel"/>
    <w:tmpl w:val="7F766B28"/>
    <w:lvl w:ilvl="0" w:tplc="04150005">
      <w:start w:val="1"/>
      <w:numFmt w:val="bullet"/>
      <w:lvlText w:val=""/>
      <w:lvlJc w:val="left"/>
      <w:pPr>
        <w:ind w:left="1080" w:hanging="360"/>
      </w:pPr>
      <w:rPr>
        <w:rFonts w:ascii="Wingdings" w:hAnsi="Wingding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84" w15:restartNumberingAfterBreak="0">
    <w:nsid w:val="3FB77F37"/>
    <w:multiLevelType w:val="hybridMultilevel"/>
    <w:tmpl w:val="852C5BF2"/>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5" w15:restartNumberingAfterBreak="0">
    <w:nsid w:val="42A4513A"/>
    <w:multiLevelType w:val="hybridMultilevel"/>
    <w:tmpl w:val="B6D239C4"/>
    <w:lvl w:ilvl="0" w:tplc="04150009">
      <w:start w:val="1"/>
      <w:numFmt w:val="bullet"/>
      <w:lvlText w:val=""/>
      <w:lvlJc w:val="left"/>
      <w:pPr>
        <w:ind w:left="1080" w:hanging="360"/>
      </w:pPr>
      <w:rPr>
        <w:rFonts w:ascii="Wingdings" w:hAnsi="Wingding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86" w15:restartNumberingAfterBreak="0">
    <w:nsid w:val="4463589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46B96955"/>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48B579E2"/>
    <w:multiLevelType w:val="multilevel"/>
    <w:tmpl w:val="5AC6C11A"/>
    <w:lvl w:ilvl="0">
      <w:start w:val="6"/>
      <w:numFmt w:val="decimal"/>
      <w:lvlText w:val="%1."/>
      <w:lvlJc w:val="left"/>
      <w:pPr>
        <w:ind w:left="495" w:hanging="495"/>
      </w:pPr>
      <w:rPr>
        <w:rFonts w:hint="default"/>
      </w:rPr>
    </w:lvl>
    <w:lvl w:ilvl="1">
      <w:start w:val="4"/>
      <w:numFmt w:val="decimal"/>
      <w:lvlText w:val="%1.%2."/>
      <w:lvlJc w:val="left"/>
      <w:pPr>
        <w:ind w:left="495" w:hanging="495"/>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49E47283"/>
    <w:multiLevelType w:val="hybridMultilevel"/>
    <w:tmpl w:val="0782472C"/>
    <w:lvl w:ilvl="0" w:tplc="F95E0E4E">
      <w:start w:val="1"/>
      <w:numFmt w:val="decimal"/>
      <w:lvlText w:val="%1."/>
      <w:lvlJc w:val="center"/>
      <w:pPr>
        <w:ind w:left="720" w:hanging="360"/>
      </w:pPr>
      <w:rPr>
        <w:rFonts w:ascii="Calibri" w:hAnsi="Calibri" w:hint="default"/>
        <w:b w:val="0"/>
        <w:bCs w:val="0"/>
        <w:i w:val="0"/>
        <w:iCs w:val="0"/>
        <w:caps w:val="0"/>
        <w:strike w:val="0"/>
        <w:dstrike w:val="0"/>
        <w:vanish w:val="0"/>
        <w:color w:val="000000"/>
        <w:spacing w:val="0"/>
        <w:kern w:val="0"/>
        <w:position w:val="0"/>
        <w:sz w:val="22"/>
        <w:szCs w:val="24"/>
        <w:u w:val="none"/>
        <w:vertAlign w:val="baseline"/>
        <w:em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A695135"/>
    <w:multiLevelType w:val="hybridMultilevel"/>
    <w:tmpl w:val="25E87FC2"/>
    <w:lvl w:ilvl="0" w:tplc="04150001">
      <w:start w:val="1"/>
      <w:numFmt w:val="bullet"/>
      <w:lvlText w:val=""/>
      <w:lvlJc w:val="left"/>
      <w:pPr>
        <w:ind w:left="785" w:hanging="360"/>
      </w:pPr>
      <w:rPr>
        <w:rFonts w:ascii="Symbol" w:hAnsi="Symbol" w:hint="default"/>
      </w:rPr>
    </w:lvl>
    <w:lvl w:ilvl="1" w:tplc="04150003" w:tentative="1">
      <w:start w:val="1"/>
      <w:numFmt w:val="bullet"/>
      <w:lvlText w:val="o"/>
      <w:lvlJc w:val="left"/>
      <w:pPr>
        <w:ind w:left="1487" w:hanging="360"/>
      </w:pPr>
      <w:rPr>
        <w:rFonts w:ascii="Courier New" w:hAnsi="Courier New" w:cs="Courier New" w:hint="default"/>
      </w:rPr>
    </w:lvl>
    <w:lvl w:ilvl="2" w:tplc="04150005" w:tentative="1">
      <w:start w:val="1"/>
      <w:numFmt w:val="bullet"/>
      <w:lvlText w:val=""/>
      <w:lvlJc w:val="left"/>
      <w:pPr>
        <w:ind w:left="2207" w:hanging="360"/>
      </w:pPr>
      <w:rPr>
        <w:rFonts w:ascii="Wingdings" w:hAnsi="Wingdings" w:hint="default"/>
      </w:rPr>
    </w:lvl>
    <w:lvl w:ilvl="3" w:tplc="04150001" w:tentative="1">
      <w:start w:val="1"/>
      <w:numFmt w:val="bullet"/>
      <w:lvlText w:val=""/>
      <w:lvlJc w:val="left"/>
      <w:pPr>
        <w:ind w:left="2927" w:hanging="360"/>
      </w:pPr>
      <w:rPr>
        <w:rFonts w:ascii="Symbol" w:hAnsi="Symbol" w:hint="default"/>
      </w:rPr>
    </w:lvl>
    <w:lvl w:ilvl="4" w:tplc="04150003" w:tentative="1">
      <w:start w:val="1"/>
      <w:numFmt w:val="bullet"/>
      <w:lvlText w:val="o"/>
      <w:lvlJc w:val="left"/>
      <w:pPr>
        <w:ind w:left="3647" w:hanging="360"/>
      </w:pPr>
      <w:rPr>
        <w:rFonts w:ascii="Courier New" w:hAnsi="Courier New" w:cs="Courier New" w:hint="default"/>
      </w:rPr>
    </w:lvl>
    <w:lvl w:ilvl="5" w:tplc="04150005" w:tentative="1">
      <w:start w:val="1"/>
      <w:numFmt w:val="bullet"/>
      <w:lvlText w:val=""/>
      <w:lvlJc w:val="left"/>
      <w:pPr>
        <w:ind w:left="4367" w:hanging="360"/>
      </w:pPr>
      <w:rPr>
        <w:rFonts w:ascii="Wingdings" w:hAnsi="Wingdings" w:hint="default"/>
      </w:rPr>
    </w:lvl>
    <w:lvl w:ilvl="6" w:tplc="04150001" w:tentative="1">
      <w:start w:val="1"/>
      <w:numFmt w:val="bullet"/>
      <w:lvlText w:val=""/>
      <w:lvlJc w:val="left"/>
      <w:pPr>
        <w:ind w:left="5087" w:hanging="360"/>
      </w:pPr>
      <w:rPr>
        <w:rFonts w:ascii="Symbol" w:hAnsi="Symbol" w:hint="default"/>
      </w:rPr>
    </w:lvl>
    <w:lvl w:ilvl="7" w:tplc="04150003" w:tentative="1">
      <w:start w:val="1"/>
      <w:numFmt w:val="bullet"/>
      <w:lvlText w:val="o"/>
      <w:lvlJc w:val="left"/>
      <w:pPr>
        <w:ind w:left="5807" w:hanging="360"/>
      </w:pPr>
      <w:rPr>
        <w:rFonts w:ascii="Courier New" w:hAnsi="Courier New" w:cs="Courier New" w:hint="default"/>
      </w:rPr>
    </w:lvl>
    <w:lvl w:ilvl="8" w:tplc="04150005" w:tentative="1">
      <w:start w:val="1"/>
      <w:numFmt w:val="bullet"/>
      <w:lvlText w:val=""/>
      <w:lvlJc w:val="left"/>
      <w:pPr>
        <w:ind w:left="6527" w:hanging="360"/>
      </w:pPr>
      <w:rPr>
        <w:rFonts w:ascii="Wingdings" w:hAnsi="Wingdings" w:hint="default"/>
      </w:rPr>
    </w:lvl>
  </w:abstractNum>
  <w:abstractNum w:abstractNumId="91" w15:restartNumberingAfterBreak="0">
    <w:nsid w:val="4B7E5286"/>
    <w:multiLevelType w:val="hybridMultilevel"/>
    <w:tmpl w:val="C994D46E"/>
    <w:lvl w:ilvl="0" w:tplc="3738D9D0">
      <w:start w:val="1"/>
      <w:numFmt w:val="decimal"/>
      <w:pStyle w:val="Wylicz1"/>
      <w:lvlText w:val="%1)"/>
      <w:lvlJc w:val="left"/>
      <w:pPr>
        <w:ind w:left="720" w:hanging="360"/>
      </w:pPr>
      <w:rPr>
        <w:rFonts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4C477376"/>
    <w:multiLevelType w:val="hybridMultilevel"/>
    <w:tmpl w:val="A6E6596E"/>
    <w:lvl w:ilvl="0" w:tplc="8BF6E698">
      <w:start w:val="1"/>
      <w:numFmt w:val="decimal"/>
      <w:lvlText w:val="%1."/>
      <w:lvlJc w:val="left"/>
      <w:pPr>
        <w:ind w:left="720" w:hanging="360"/>
      </w:pPr>
      <w:rPr>
        <w:rFonts w:hint="default"/>
        <w:b w:val="0"/>
      </w:rPr>
    </w:lvl>
    <w:lvl w:ilvl="1" w:tplc="04150019">
      <w:start w:val="1"/>
      <w:numFmt w:val="lowerLetter"/>
      <w:pStyle w:val="Wylicza"/>
      <w:lvlText w:val="%2)"/>
      <w:lvlJc w:val="left"/>
      <w:pPr>
        <w:tabs>
          <w:tab w:val="num" w:pos="1440"/>
        </w:tabs>
        <w:ind w:left="1440"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4E6B2686"/>
    <w:multiLevelType w:val="hybridMultilevel"/>
    <w:tmpl w:val="510A414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50CF52B9"/>
    <w:multiLevelType w:val="hybridMultilevel"/>
    <w:tmpl w:val="93465DD8"/>
    <w:lvl w:ilvl="0" w:tplc="C1602F40">
      <w:numFmt w:val="bullet"/>
      <w:lvlText w:val="–"/>
      <w:lvlJc w:val="left"/>
      <w:pPr>
        <w:ind w:left="1931" w:hanging="360"/>
      </w:pPr>
      <w:rPr>
        <w:rFonts w:ascii="Calibri" w:eastAsia="Times New Roman" w:hAnsi="Calibri" w:cs="Calibri" w:hint="default"/>
      </w:rPr>
    </w:lvl>
    <w:lvl w:ilvl="1" w:tplc="04150003" w:tentative="1">
      <w:start w:val="1"/>
      <w:numFmt w:val="bullet"/>
      <w:lvlText w:val="o"/>
      <w:lvlJc w:val="left"/>
      <w:pPr>
        <w:ind w:left="2651" w:hanging="360"/>
      </w:pPr>
      <w:rPr>
        <w:rFonts w:ascii="Courier New" w:hAnsi="Courier New" w:cs="Courier New" w:hint="default"/>
      </w:rPr>
    </w:lvl>
    <w:lvl w:ilvl="2" w:tplc="04150005" w:tentative="1">
      <w:start w:val="1"/>
      <w:numFmt w:val="bullet"/>
      <w:lvlText w:val=""/>
      <w:lvlJc w:val="left"/>
      <w:pPr>
        <w:ind w:left="3371" w:hanging="360"/>
      </w:pPr>
      <w:rPr>
        <w:rFonts w:ascii="Wingdings" w:hAnsi="Wingdings" w:hint="default"/>
      </w:rPr>
    </w:lvl>
    <w:lvl w:ilvl="3" w:tplc="04150001" w:tentative="1">
      <w:start w:val="1"/>
      <w:numFmt w:val="bullet"/>
      <w:lvlText w:val=""/>
      <w:lvlJc w:val="left"/>
      <w:pPr>
        <w:ind w:left="4091" w:hanging="360"/>
      </w:pPr>
      <w:rPr>
        <w:rFonts w:ascii="Symbol" w:hAnsi="Symbol" w:hint="default"/>
      </w:rPr>
    </w:lvl>
    <w:lvl w:ilvl="4" w:tplc="04150003" w:tentative="1">
      <w:start w:val="1"/>
      <w:numFmt w:val="bullet"/>
      <w:lvlText w:val="o"/>
      <w:lvlJc w:val="left"/>
      <w:pPr>
        <w:ind w:left="4811" w:hanging="360"/>
      </w:pPr>
      <w:rPr>
        <w:rFonts w:ascii="Courier New" w:hAnsi="Courier New" w:cs="Courier New" w:hint="default"/>
      </w:rPr>
    </w:lvl>
    <w:lvl w:ilvl="5" w:tplc="04150005" w:tentative="1">
      <w:start w:val="1"/>
      <w:numFmt w:val="bullet"/>
      <w:lvlText w:val=""/>
      <w:lvlJc w:val="left"/>
      <w:pPr>
        <w:ind w:left="5531" w:hanging="360"/>
      </w:pPr>
      <w:rPr>
        <w:rFonts w:ascii="Wingdings" w:hAnsi="Wingdings" w:hint="default"/>
      </w:rPr>
    </w:lvl>
    <w:lvl w:ilvl="6" w:tplc="04150001" w:tentative="1">
      <w:start w:val="1"/>
      <w:numFmt w:val="bullet"/>
      <w:lvlText w:val=""/>
      <w:lvlJc w:val="left"/>
      <w:pPr>
        <w:ind w:left="6251" w:hanging="360"/>
      </w:pPr>
      <w:rPr>
        <w:rFonts w:ascii="Symbol" w:hAnsi="Symbol" w:hint="default"/>
      </w:rPr>
    </w:lvl>
    <w:lvl w:ilvl="7" w:tplc="04150003" w:tentative="1">
      <w:start w:val="1"/>
      <w:numFmt w:val="bullet"/>
      <w:lvlText w:val="o"/>
      <w:lvlJc w:val="left"/>
      <w:pPr>
        <w:ind w:left="6971" w:hanging="360"/>
      </w:pPr>
      <w:rPr>
        <w:rFonts w:ascii="Courier New" w:hAnsi="Courier New" w:cs="Courier New" w:hint="default"/>
      </w:rPr>
    </w:lvl>
    <w:lvl w:ilvl="8" w:tplc="04150005" w:tentative="1">
      <w:start w:val="1"/>
      <w:numFmt w:val="bullet"/>
      <w:lvlText w:val=""/>
      <w:lvlJc w:val="left"/>
      <w:pPr>
        <w:ind w:left="7691" w:hanging="360"/>
      </w:pPr>
      <w:rPr>
        <w:rFonts w:ascii="Wingdings" w:hAnsi="Wingdings" w:hint="default"/>
      </w:rPr>
    </w:lvl>
  </w:abstractNum>
  <w:abstractNum w:abstractNumId="95" w15:restartNumberingAfterBreak="0">
    <w:nsid w:val="51C541F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52B10B07"/>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52E86633"/>
    <w:multiLevelType w:val="hybridMultilevel"/>
    <w:tmpl w:val="64B0543A"/>
    <w:lvl w:ilvl="0" w:tplc="AC7A6530">
      <w:start w:val="1"/>
      <w:numFmt w:val="bullet"/>
      <w:pStyle w:val="Indeks1"/>
      <w:lvlText w:val=""/>
      <w:lvlJc w:val="left"/>
      <w:pPr>
        <w:tabs>
          <w:tab w:val="num" w:pos="1429"/>
        </w:tabs>
        <w:ind w:left="1429" w:hanging="360"/>
      </w:pPr>
      <w:rPr>
        <w:rFonts w:ascii="Symbol" w:hAnsi="Symbol" w:hint="default"/>
      </w:rPr>
    </w:lvl>
    <w:lvl w:ilvl="1" w:tplc="04150019">
      <w:start w:val="1"/>
      <w:numFmt w:val="decimal"/>
      <w:lvlText w:val="%2."/>
      <w:lvlJc w:val="left"/>
      <w:pPr>
        <w:tabs>
          <w:tab w:val="num" w:pos="2149"/>
        </w:tabs>
        <w:ind w:left="2149" w:hanging="360"/>
      </w:pPr>
      <w:rPr>
        <w:rFonts w:hint="default"/>
      </w:rPr>
    </w:lvl>
    <w:lvl w:ilvl="2" w:tplc="0415001B" w:tentative="1">
      <w:start w:val="1"/>
      <w:numFmt w:val="bullet"/>
      <w:lvlText w:val=""/>
      <w:lvlJc w:val="left"/>
      <w:pPr>
        <w:tabs>
          <w:tab w:val="num" w:pos="2869"/>
        </w:tabs>
        <w:ind w:left="2869" w:hanging="360"/>
      </w:pPr>
      <w:rPr>
        <w:rFonts w:ascii="Wingdings" w:hAnsi="Wingdings" w:hint="default"/>
      </w:rPr>
    </w:lvl>
    <w:lvl w:ilvl="3" w:tplc="0415000F" w:tentative="1">
      <w:start w:val="1"/>
      <w:numFmt w:val="bullet"/>
      <w:lvlText w:val=""/>
      <w:lvlJc w:val="left"/>
      <w:pPr>
        <w:tabs>
          <w:tab w:val="num" w:pos="3589"/>
        </w:tabs>
        <w:ind w:left="3589" w:hanging="360"/>
      </w:pPr>
      <w:rPr>
        <w:rFonts w:ascii="Symbol" w:hAnsi="Symbol" w:hint="default"/>
      </w:rPr>
    </w:lvl>
    <w:lvl w:ilvl="4" w:tplc="04150019" w:tentative="1">
      <w:start w:val="1"/>
      <w:numFmt w:val="bullet"/>
      <w:lvlText w:val="o"/>
      <w:lvlJc w:val="left"/>
      <w:pPr>
        <w:tabs>
          <w:tab w:val="num" w:pos="4309"/>
        </w:tabs>
        <w:ind w:left="4309" w:hanging="360"/>
      </w:pPr>
      <w:rPr>
        <w:rFonts w:ascii="Courier New" w:hAnsi="Courier New" w:cs="Courier New" w:hint="default"/>
      </w:rPr>
    </w:lvl>
    <w:lvl w:ilvl="5" w:tplc="0415001B" w:tentative="1">
      <w:start w:val="1"/>
      <w:numFmt w:val="bullet"/>
      <w:lvlText w:val=""/>
      <w:lvlJc w:val="left"/>
      <w:pPr>
        <w:tabs>
          <w:tab w:val="num" w:pos="5029"/>
        </w:tabs>
        <w:ind w:left="5029" w:hanging="360"/>
      </w:pPr>
      <w:rPr>
        <w:rFonts w:ascii="Wingdings" w:hAnsi="Wingdings" w:hint="default"/>
      </w:rPr>
    </w:lvl>
    <w:lvl w:ilvl="6" w:tplc="0415000F" w:tentative="1">
      <w:start w:val="1"/>
      <w:numFmt w:val="bullet"/>
      <w:lvlText w:val=""/>
      <w:lvlJc w:val="left"/>
      <w:pPr>
        <w:tabs>
          <w:tab w:val="num" w:pos="5749"/>
        </w:tabs>
        <w:ind w:left="5749" w:hanging="360"/>
      </w:pPr>
      <w:rPr>
        <w:rFonts w:ascii="Symbol" w:hAnsi="Symbol" w:hint="default"/>
      </w:rPr>
    </w:lvl>
    <w:lvl w:ilvl="7" w:tplc="04150019" w:tentative="1">
      <w:start w:val="1"/>
      <w:numFmt w:val="bullet"/>
      <w:lvlText w:val="o"/>
      <w:lvlJc w:val="left"/>
      <w:pPr>
        <w:tabs>
          <w:tab w:val="num" w:pos="6469"/>
        </w:tabs>
        <w:ind w:left="6469" w:hanging="360"/>
      </w:pPr>
      <w:rPr>
        <w:rFonts w:ascii="Courier New" w:hAnsi="Courier New" w:cs="Courier New" w:hint="default"/>
      </w:rPr>
    </w:lvl>
    <w:lvl w:ilvl="8" w:tplc="0415001B" w:tentative="1">
      <w:start w:val="1"/>
      <w:numFmt w:val="bullet"/>
      <w:lvlText w:val=""/>
      <w:lvlJc w:val="left"/>
      <w:pPr>
        <w:tabs>
          <w:tab w:val="num" w:pos="7189"/>
        </w:tabs>
        <w:ind w:left="7189" w:hanging="360"/>
      </w:pPr>
      <w:rPr>
        <w:rFonts w:ascii="Wingdings" w:hAnsi="Wingdings" w:hint="default"/>
      </w:rPr>
    </w:lvl>
  </w:abstractNum>
  <w:abstractNum w:abstractNumId="98" w15:restartNumberingAfterBreak="0">
    <w:nsid w:val="56E606F2"/>
    <w:multiLevelType w:val="hybridMultilevel"/>
    <w:tmpl w:val="B1D4885C"/>
    <w:lvl w:ilvl="0" w:tplc="04150005">
      <w:start w:val="1"/>
      <w:numFmt w:val="bullet"/>
      <w:lvlText w:val=""/>
      <w:lvlJc w:val="left"/>
      <w:pPr>
        <w:ind w:left="1211" w:hanging="360"/>
      </w:pPr>
      <w:rPr>
        <w:rFonts w:ascii="Wingdings" w:hAnsi="Wingding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99" w15:restartNumberingAfterBreak="0">
    <w:nsid w:val="586F61BC"/>
    <w:multiLevelType w:val="hybridMultilevel"/>
    <w:tmpl w:val="49804012"/>
    <w:lvl w:ilvl="0" w:tplc="D34E18E8">
      <w:start w:val="1"/>
      <w:numFmt w:val="bullet"/>
      <w:lvlText w:val=""/>
      <w:lvlJc w:val="left"/>
      <w:pPr>
        <w:ind w:left="720" w:hanging="360"/>
      </w:pPr>
      <w:rPr>
        <w:rFonts w:ascii="Symbol" w:hAnsi="Symbol" w:hint="default"/>
        <w:b w:val="0"/>
        <w:i w:val="0"/>
        <w:color w:val="auto"/>
        <w:sz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0" w15:restartNumberingAfterBreak="0">
    <w:nsid w:val="5B7316A1"/>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15:restartNumberingAfterBreak="0">
    <w:nsid w:val="5CCD76AE"/>
    <w:multiLevelType w:val="hybridMultilevel"/>
    <w:tmpl w:val="6D04B7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ED1374D"/>
    <w:multiLevelType w:val="hybridMultilevel"/>
    <w:tmpl w:val="8D78D18A"/>
    <w:lvl w:ilvl="0" w:tplc="04150011">
      <w:start w:val="1"/>
      <w:numFmt w:val="bullet"/>
      <w:pStyle w:val="mylniki"/>
      <w:lvlText w:val=""/>
      <w:lvlJc w:val="left"/>
      <w:pPr>
        <w:ind w:left="1919"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3" w15:restartNumberingAfterBreak="0">
    <w:nsid w:val="62663A17"/>
    <w:multiLevelType w:val="hybridMultilevel"/>
    <w:tmpl w:val="A8C057E6"/>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2A76041"/>
    <w:multiLevelType w:val="hybridMultilevel"/>
    <w:tmpl w:val="366EA294"/>
    <w:lvl w:ilvl="0" w:tplc="041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62C141F9"/>
    <w:multiLevelType w:val="hybridMultilevel"/>
    <w:tmpl w:val="46B05258"/>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65E252B1"/>
    <w:multiLevelType w:val="hybridMultilevel"/>
    <w:tmpl w:val="261C7EEE"/>
    <w:lvl w:ilvl="0" w:tplc="04150003">
      <w:start w:val="1"/>
      <w:numFmt w:val="bullet"/>
      <w:lvlText w:val="o"/>
      <w:lvlJc w:val="left"/>
      <w:pPr>
        <w:ind w:left="720" w:hanging="360"/>
      </w:pPr>
      <w:rPr>
        <w:rFonts w:ascii="Courier New" w:hAnsi="Courier New" w:cs="Courier New" w:hint="default"/>
        <w:b w:val="0"/>
        <w:i w:val="0"/>
        <w:color w:val="auto"/>
        <w:sz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7" w15:restartNumberingAfterBreak="0">
    <w:nsid w:val="665B0272"/>
    <w:multiLevelType w:val="multilevel"/>
    <w:tmpl w:val="F6C2250E"/>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2989" w:hanging="720"/>
      </w:pPr>
      <w:rPr>
        <w:rFonts w:hint="default"/>
      </w:rPr>
    </w:lvl>
    <w:lvl w:ilvl="3">
      <w:start w:val="1"/>
      <w:numFmt w:val="decimal"/>
      <w:lvlText w:val="%1.%2.%3.%4"/>
      <w:lvlJc w:val="left"/>
      <w:pPr>
        <w:ind w:left="864" w:hanging="864"/>
      </w:pPr>
      <w:rPr>
        <w:rFonts w:hint="default"/>
        <w:sz w:val="20"/>
      </w:rPr>
    </w:lvl>
    <w:lvl w:ilvl="4">
      <w:start w:val="1"/>
      <w:numFmt w:val="decimal"/>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08" w15:restartNumberingAfterBreak="0">
    <w:nsid w:val="665D4403"/>
    <w:multiLevelType w:val="hybridMultilevel"/>
    <w:tmpl w:val="989AD76E"/>
    <w:lvl w:ilvl="0" w:tplc="072EE970">
      <w:start w:val="1"/>
      <w:numFmt w:val="lowerLetter"/>
      <w:pStyle w:val="literki"/>
      <w:lvlText w:val="%1)"/>
      <w:lvlJc w:val="left"/>
      <w:pPr>
        <w:tabs>
          <w:tab w:val="num" w:pos="1428"/>
        </w:tabs>
        <w:ind w:left="1428" w:hanging="360"/>
      </w:pPr>
      <w:rPr>
        <w:rFonts w:hint="default"/>
      </w:rPr>
    </w:lvl>
    <w:lvl w:ilvl="1" w:tplc="1F52FBEC">
      <w:start w:val="1"/>
      <w:numFmt w:val="bullet"/>
      <w:lvlText w:val="o"/>
      <w:lvlJc w:val="left"/>
      <w:pPr>
        <w:tabs>
          <w:tab w:val="num" w:pos="2148"/>
        </w:tabs>
        <w:ind w:left="2148" w:hanging="360"/>
      </w:pPr>
      <w:rPr>
        <w:rFonts w:ascii="Courier New" w:hAnsi="Courier New" w:cs="Courier New" w:hint="default"/>
      </w:rPr>
    </w:lvl>
    <w:lvl w:ilvl="2" w:tplc="1A7686FA">
      <w:start w:val="1"/>
      <w:numFmt w:val="bullet"/>
      <w:lvlText w:val=""/>
      <w:lvlJc w:val="left"/>
      <w:pPr>
        <w:tabs>
          <w:tab w:val="num" w:pos="2868"/>
        </w:tabs>
        <w:ind w:left="2868" w:hanging="360"/>
      </w:pPr>
      <w:rPr>
        <w:rFonts w:ascii="Wingdings" w:hAnsi="Wingdings" w:cs="Wingdings" w:hint="default"/>
      </w:rPr>
    </w:lvl>
    <w:lvl w:ilvl="3" w:tplc="B2B66B02">
      <w:start w:val="1"/>
      <w:numFmt w:val="bullet"/>
      <w:lvlText w:val=""/>
      <w:lvlJc w:val="left"/>
      <w:pPr>
        <w:tabs>
          <w:tab w:val="num" w:pos="3588"/>
        </w:tabs>
        <w:ind w:left="3588" w:hanging="360"/>
      </w:pPr>
      <w:rPr>
        <w:rFonts w:ascii="Symbol" w:hAnsi="Symbol" w:cs="Symbol" w:hint="default"/>
      </w:rPr>
    </w:lvl>
    <w:lvl w:ilvl="4" w:tplc="BC6C1F82">
      <w:start w:val="1"/>
      <w:numFmt w:val="bullet"/>
      <w:lvlText w:val="o"/>
      <w:lvlJc w:val="left"/>
      <w:pPr>
        <w:tabs>
          <w:tab w:val="num" w:pos="4308"/>
        </w:tabs>
        <w:ind w:left="4308" w:hanging="360"/>
      </w:pPr>
      <w:rPr>
        <w:rFonts w:ascii="Courier New" w:hAnsi="Courier New" w:cs="Courier New" w:hint="default"/>
      </w:rPr>
    </w:lvl>
    <w:lvl w:ilvl="5" w:tplc="108A005A">
      <w:start w:val="1"/>
      <w:numFmt w:val="bullet"/>
      <w:lvlText w:val=""/>
      <w:lvlJc w:val="left"/>
      <w:pPr>
        <w:tabs>
          <w:tab w:val="num" w:pos="5028"/>
        </w:tabs>
        <w:ind w:left="5028" w:hanging="360"/>
      </w:pPr>
      <w:rPr>
        <w:rFonts w:ascii="Wingdings" w:hAnsi="Wingdings" w:cs="Wingdings" w:hint="default"/>
      </w:rPr>
    </w:lvl>
    <w:lvl w:ilvl="6" w:tplc="FC2A7428">
      <w:start w:val="1"/>
      <w:numFmt w:val="bullet"/>
      <w:lvlText w:val=""/>
      <w:lvlJc w:val="left"/>
      <w:pPr>
        <w:tabs>
          <w:tab w:val="num" w:pos="5748"/>
        </w:tabs>
        <w:ind w:left="5748" w:hanging="360"/>
      </w:pPr>
      <w:rPr>
        <w:rFonts w:ascii="Symbol" w:hAnsi="Symbol" w:cs="Symbol" w:hint="default"/>
      </w:rPr>
    </w:lvl>
    <w:lvl w:ilvl="7" w:tplc="9A181166">
      <w:start w:val="1"/>
      <w:numFmt w:val="bullet"/>
      <w:lvlText w:val="o"/>
      <w:lvlJc w:val="left"/>
      <w:pPr>
        <w:tabs>
          <w:tab w:val="num" w:pos="6468"/>
        </w:tabs>
        <w:ind w:left="6468" w:hanging="360"/>
      </w:pPr>
      <w:rPr>
        <w:rFonts w:ascii="Courier New" w:hAnsi="Courier New" w:cs="Courier New" w:hint="default"/>
      </w:rPr>
    </w:lvl>
    <w:lvl w:ilvl="8" w:tplc="E0BC19CE">
      <w:start w:val="1"/>
      <w:numFmt w:val="bullet"/>
      <w:lvlText w:val=""/>
      <w:lvlJc w:val="left"/>
      <w:pPr>
        <w:tabs>
          <w:tab w:val="num" w:pos="7188"/>
        </w:tabs>
        <w:ind w:left="7188" w:hanging="360"/>
      </w:pPr>
      <w:rPr>
        <w:rFonts w:ascii="Wingdings" w:hAnsi="Wingdings" w:cs="Wingdings" w:hint="default"/>
      </w:rPr>
    </w:lvl>
  </w:abstractNum>
  <w:abstractNum w:abstractNumId="109" w15:restartNumberingAfterBreak="0">
    <w:nsid w:val="6A5D412C"/>
    <w:multiLevelType w:val="hybridMultilevel"/>
    <w:tmpl w:val="61429AE0"/>
    <w:lvl w:ilvl="0" w:tplc="F0FEF712">
      <w:start w:val="1"/>
      <w:numFmt w:val="decimal"/>
      <w:lvlText w:val="%1)"/>
      <w:lvlJc w:val="left"/>
      <w:pPr>
        <w:ind w:left="720" w:hanging="360"/>
      </w:pPr>
      <w:rPr>
        <w:rFonts w:ascii="Arial" w:hAnsi="Arial" w:cs="Times New Roman" w:hint="default"/>
        <w:b w:val="0"/>
        <w:i w:val="0"/>
        <w:sz w:val="22"/>
      </w:rPr>
    </w:lvl>
    <w:lvl w:ilvl="1" w:tplc="03F08B78">
      <w:start w:val="1"/>
      <w:numFmt w:val="lowerLetter"/>
      <w:lvlText w:val="%2."/>
      <w:lvlJc w:val="left"/>
      <w:pPr>
        <w:snapToGrid w:val="0"/>
        <w:ind w:left="1440" w:hanging="360"/>
      </w:pPr>
      <w:rPr>
        <w:rFonts w:ascii="Times New Roman" w:hAnsi="Times New Roman" w:cs="Times New Roman"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tplc="CDC45772">
      <w:start w:val="1"/>
      <w:numFmt w:val="lowerRoman"/>
      <w:pStyle w:val="IIVnumerowanie"/>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0" w15:restartNumberingAfterBreak="0">
    <w:nsid w:val="6BF1593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1" w15:restartNumberingAfterBreak="0">
    <w:nsid w:val="6C676B56"/>
    <w:multiLevelType w:val="hybridMultilevel"/>
    <w:tmpl w:val="38EAD4FA"/>
    <w:lvl w:ilvl="0" w:tplc="A93E636E">
      <w:start w:val="1"/>
      <w:numFmt w:val="decimal"/>
      <w:lvlText w:val="%1)"/>
      <w:lvlJc w:val="left"/>
      <w:pPr>
        <w:ind w:left="792" w:hanging="360"/>
      </w:pPr>
      <w:rPr>
        <w:rFonts w:hint="default"/>
      </w:rPr>
    </w:lvl>
    <w:lvl w:ilvl="1" w:tplc="04150019" w:tentative="1">
      <w:start w:val="1"/>
      <w:numFmt w:val="lowerLetter"/>
      <w:lvlText w:val="%2."/>
      <w:lvlJc w:val="left"/>
      <w:pPr>
        <w:ind w:left="1512" w:hanging="360"/>
      </w:pPr>
    </w:lvl>
    <w:lvl w:ilvl="2" w:tplc="0415001B" w:tentative="1">
      <w:start w:val="1"/>
      <w:numFmt w:val="lowerRoman"/>
      <w:lvlText w:val="%3."/>
      <w:lvlJc w:val="right"/>
      <w:pPr>
        <w:ind w:left="2232" w:hanging="180"/>
      </w:pPr>
    </w:lvl>
    <w:lvl w:ilvl="3" w:tplc="0415000F" w:tentative="1">
      <w:start w:val="1"/>
      <w:numFmt w:val="decimal"/>
      <w:lvlText w:val="%4."/>
      <w:lvlJc w:val="left"/>
      <w:pPr>
        <w:ind w:left="2952" w:hanging="360"/>
      </w:pPr>
    </w:lvl>
    <w:lvl w:ilvl="4" w:tplc="04150019" w:tentative="1">
      <w:start w:val="1"/>
      <w:numFmt w:val="lowerLetter"/>
      <w:lvlText w:val="%5."/>
      <w:lvlJc w:val="left"/>
      <w:pPr>
        <w:ind w:left="3672" w:hanging="360"/>
      </w:pPr>
    </w:lvl>
    <w:lvl w:ilvl="5" w:tplc="0415001B" w:tentative="1">
      <w:start w:val="1"/>
      <w:numFmt w:val="lowerRoman"/>
      <w:lvlText w:val="%6."/>
      <w:lvlJc w:val="right"/>
      <w:pPr>
        <w:ind w:left="4392" w:hanging="180"/>
      </w:pPr>
    </w:lvl>
    <w:lvl w:ilvl="6" w:tplc="0415000F" w:tentative="1">
      <w:start w:val="1"/>
      <w:numFmt w:val="decimal"/>
      <w:lvlText w:val="%7."/>
      <w:lvlJc w:val="left"/>
      <w:pPr>
        <w:ind w:left="5112" w:hanging="360"/>
      </w:pPr>
    </w:lvl>
    <w:lvl w:ilvl="7" w:tplc="04150019" w:tentative="1">
      <w:start w:val="1"/>
      <w:numFmt w:val="lowerLetter"/>
      <w:lvlText w:val="%8."/>
      <w:lvlJc w:val="left"/>
      <w:pPr>
        <w:ind w:left="5832" w:hanging="360"/>
      </w:pPr>
    </w:lvl>
    <w:lvl w:ilvl="8" w:tplc="0415001B" w:tentative="1">
      <w:start w:val="1"/>
      <w:numFmt w:val="lowerRoman"/>
      <w:lvlText w:val="%9."/>
      <w:lvlJc w:val="right"/>
      <w:pPr>
        <w:ind w:left="6552" w:hanging="180"/>
      </w:pPr>
    </w:lvl>
  </w:abstractNum>
  <w:abstractNum w:abstractNumId="112" w15:restartNumberingAfterBreak="0">
    <w:nsid w:val="6DDA114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3" w15:restartNumberingAfterBreak="0">
    <w:nsid w:val="74BC14FA"/>
    <w:multiLevelType w:val="hybridMultilevel"/>
    <w:tmpl w:val="CB589F76"/>
    <w:lvl w:ilvl="0" w:tplc="04150001">
      <w:start w:val="1"/>
      <w:numFmt w:val="bullet"/>
      <w:lvlText w:val=""/>
      <w:lvlJc w:val="left"/>
      <w:pPr>
        <w:ind w:left="1215" w:hanging="360"/>
      </w:pPr>
      <w:rPr>
        <w:rFonts w:ascii="Symbol" w:hAnsi="Symbol" w:hint="default"/>
      </w:rPr>
    </w:lvl>
    <w:lvl w:ilvl="1" w:tplc="04150003" w:tentative="1">
      <w:start w:val="1"/>
      <w:numFmt w:val="bullet"/>
      <w:lvlText w:val="o"/>
      <w:lvlJc w:val="left"/>
      <w:pPr>
        <w:ind w:left="1935" w:hanging="360"/>
      </w:pPr>
      <w:rPr>
        <w:rFonts w:ascii="Courier New" w:hAnsi="Courier New" w:cs="Courier New" w:hint="default"/>
      </w:rPr>
    </w:lvl>
    <w:lvl w:ilvl="2" w:tplc="04150005" w:tentative="1">
      <w:start w:val="1"/>
      <w:numFmt w:val="bullet"/>
      <w:lvlText w:val=""/>
      <w:lvlJc w:val="left"/>
      <w:pPr>
        <w:ind w:left="2655" w:hanging="360"/>
      </w:pPr>
      <w:rPr>
        <w:rFonts w:ascii="Wingdings" w:hAnsi="Wingdings" w:hint="default"/>
      </w:rPr>
    </w:lvl>
    <w:lvl w:ilvl="3" w:tplc="04150001" w:tentative="1">
      <w:start w:val="1"/>
      <w:numFmt w:val="bullet"/>
      <w:lvlText w:val=""/>
      <w:lvlJc w:val="left"/>
      <w:pPr>
        <w:ind w:left="3375" w:hanging="360"/>
      </w:pPr>
      <w:rPr>
        <w:rFonts w:ascii="Symbol" w:hAnsi="Symbol" w:hint="default"/>
      </w:rPr>
    </w:lvl>
    <w:lvl w:ilvl="4" w:tplc="04150003" w:tentative="1">
      <w:start w:val="1"/>
      <w:numFmt w:val="bullet"/>
      <w:lvlText w:val="o"/>
      <w:lvlJc w:val="left"/>
      <w:pPr>
        <w:ind w:left="4095" w:hanging="360"/>
      </w:pPr>
      <w:rPr>
        <w:rFonts w:ascii="Courier New" w:hAnsi="Courier New" w:cs="Courier New" w:hint="default"/>
      </w:rPr>
    </w:lvl>
    <w:lvl w:ilvl="5" w:tplc="04150005" w:tentative="1">
      <w:start w:val="1"/>
      <w:numFmt w:val="bullet"/>
      <w:lvlText w:val=""/>
      <w:lvlJc w:val="left"/>
      <w:pPr>
        <w:ind w:left="4815" w:hanging="360"/>
      </w:pPr>
      <w:rPr>
        <w:rFonts w:ascii="Wingdings" w:hAnsi="Wingdings" w:hint="default"/>
      </w:rPr>
    </w:lvl>
    <w:lvl w:ilvl="6" w:tplc="04150001" w:tentative="1">
      <w:start w:val="1"/>
      <w:numFmt w:val="bullet"/>
      <w:lvlText w:val=""/>
      <w:lvlJc w:val="left"/>
      <w:pPr>
        <w:ind w:left="5535" w:hanging="360"/>
      </w:pPr>
      <w:rPr>
        <w:rFonts w:ascii="Symbol" w:hAnsi="Symbol" w:hint="default"/>
      </w:rPr>
    </w:lvl>
    <w:lvl w:ilvl="7" w:tplc="04150003" w:tentative="1">
      <w:start w:val="1"/>
      <w:numFmt w:val="bullet"/>
      <w:lvlText w:val="o"/>
      <w:lvlJc w:val="left"/>
      <w:pPr>
        <w:ind w:left="6255" w:hanging="360"/>
      </w:pPr>
      <w:rPr>
        <w:rFonts w:ascii="Courier New" w:hAnsi="Courier New" w:cs="Courier New" w:hint="default"/>
      </w:rPr>
    </w:lvl>
    <w:lvl w:ilvl="8" w:tplc="04150005" w:tentative="1">
      <w:start w:val="1"/>
      <w:numFmt w:val="bullet"/>
      <w:lvlText w:val=""/>
      <w:lvlJc w:val="left"/>
      <w:pPr>
        <w:ind w:left="6975" w:hanging="360"/>
      </w:pPr>
      <w:rPr>
        <w:rFonts w:ascii="Wingdings" w:hAnsi="Wingdings" w:hint="default"/>
      </w:rPr>
    </w:lvl>
  </w:abstractNum>
  <w:abstractNum w:abstractNumId="114" w15:restartNumberingAfterBreak="0">
    <w:nsid w:val="757D1ABF"/>
    <w:multiLevelType w:val="hybridMultilevel"/>
    <w:tmpl w:val="977867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5" w15:restartNumberingAfterBreak="0">
    <w:nsid w:val="77874EB0"/>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6" w15:restartNumberingAfterBreak="0">
    <w:nsid w:val="78A35598"/>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7" w15:restartNumberingAfterBreak="0">
    <w:nsid w:val="79453074"/>
    <w:multiLevelType w:val="hybridMultilevel"/>
    <w:tmpl w:val="FCF4EA12"/>
    <w:lvl w:ilvl="0" w:tplc="FFFFFFFF">
      <w:start w:val="1"/>
      <w:numFmt w:val="lowerLetter"/>
      <w:lvlText w:val="%1)"/>
      <w:lvlJc w:val="left"/>
      <w:pPr>
        <w:ind w:left="2340" w:hanging="360"/>
      </w:pPr>
    </w:lvl>
    <w:lvl w:ilvl="1" w:tplc="FFFFFFFF" w:tentative="1">
      <w:start w:val="1"/>
      <w:numFmt w:val="lowerLetter"/>
      <w:lvlText w:val="%2."/>
      <w:lvlJc w:val="left"/>
      <w:pPr>
        <w:ind w:left="3060" w:hanging="360"/>
      </w:pPr>
    </w:lvl>
    <w:lvl w:ilvl="2" w:tplc="FFFFFFFF" w:tentative="1">
      <w:start w:val="1"/>
      <w:numFmt w:val="lowerRoman"/>
      <w:lvlText w:val="%3."/>
      <w:lvlJc w:val="right"/>
      <w:pPr>
        <w:ind w:left="3780" w:hanging="180"/>
      </w:pPr>
    </w:lvl>
    <w:lvl w:ilvl="3" w:tplc="FFFFFFFF" w:tentative="1">
      <w:start w:val="1"/>
      <w:numFmt w:val="decimal"/>
      <w:lvlText w:val="%4."/>
      <w:lvlJc w:val="left"/>
      <w:pPr>
        <w:ind w:left="4500" w:hanging="360"/>
      </w:pPr>
    </w:lvl>
    <w:lvl w:ilvl="4" w:tplc="FFFFFFFF" w:tentative="1">
      <w:start w:val="1"/>
      <w:numFmt w:val="lowerLetter"/>
      <w:lvlText w:val="%5."/>
      <w:lvlJc w:val="left"/>
      <w:pPr>
        <w:ind w:left="5220" w:hanging="360"/>
      </w:pPr>
    </w:lvl>
    <w:lvl w:ilvl="5" w:tplc="FFFFFFFF" w:tentative="1">
      <w:start w:val="1"/>
      <w:numFmt w:val="lowerRoman"/>
      <w:lvlText w:val="%6."/>
      <w:lvlJc w:val="right"/>
      <w:pPr>
        <w:ind w:left="5940" w:hanging="180"/>
      </w:pPr>
    </w:lvl>
    <w:lvl w:ilvl="6" w:tplc="FFFFFFFF" w:tentative="1">
      <w:start w:val="1"/>
      <w:numFmt w:val="decimal"/>
      <w:lvlText w:val="%7."/>
      <w:lvlJc w:val="left"/>
      <w:pPr>
        <w:ind w:left="6660" w:hanging="360"/>
      </w:pPr>
    </w:lvl>
    <w:lvl w:ilvl="7" w:tplc="FFFFFFFF" w:tentative="1">
      <w:start w:val="1"/>
      <w:numFmt w:val="lowerLetter"/>
      <w:lvlText w:val="%8."/>
      <w:lvlJc w:val="left"/>
      <w:pPr>
        <w:ind w:left="7380" w:hanging="360"/>
      </w:pPr>
    </w:lvl>
    <w:lvl w:ilvl="8" w:tplc="FFFFFFFF" w:tentative="1">
      <w:start w:val="1"/>
      <w:numFmt w:val="lowerRoman"/>
      <w:lvlText w:val="%9."/>
      <w:lvlJc w:val="right"/>
      <w:pPr>
        <w:ind w:left="8100" w:hanging="180"/>
      </w:pPr>
    </w:lvl>
  </w:abstractNum>
  <w:abstractNum w:abstractNumId="118" w15:restartNumberingAfterBreak="0">
    <w:nsid w:val="7DC36305"/>
    <w:multiLevelType w:val="hybridMultilevel"/>
    <w:tmpl w:val="A02A1690"/>
    <w:lvl w:ilvl="0" w:tplc="A47CA350">
      <w:numFmt w:val="bullet"/>
      <w:lvlText w:val="-"/>
      <w:lvlJc w:val="left"/>
      <w:pPr>
        <w:ind w:left="720" w:hanging="360"/>
      </w:pPr>
      <w:rPr>
        <w:rFonts w:ascii="Arial" w:eastAsia="Times New Roman"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7E84568D"/>
    <w:multiLevelType w:val="hybridMultilevel"/>
    <w:tmpl w:val="8CFC3284"/>
    <w:lvl w:ilvl="0" w:tplc="E5CECE94">
      <w:start w:val="1"/>
      <w:numFmt w:val="decimal"/>
      <w:lvlText w:val="%1)"/>
      <w:lvlJc w:val="left"/>
      <w:pPr>
        <w:ind w:left="577" w:hanging="435"/>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num w:numId="1" w16cid:durableId="1479758681">
    <w:abstractNumId w:val="92"/>
  </w:num>
  <w:num w:numId="2" w16cid:durableId="789281601">
    <w:abstractNumId w:val="97"/>
  </w:num>
  <w:num w:numId="3" w16cid:durableId="60950676">
    <w:abstractNumId w:val="108"/>
  </w:num>
  <w:num w:numId="4" w16cid:durableId="1690109381">
    <w:abstractNumId w:val="91"/>
  </w:num>
  <w:num w:numId="5" w16cid:durableId="544220653">
    <w:abstractNumId w:val="102"/>
  </w:num>
  <w:num w:numId="6" w16cid:durableId="538057398">
    <w:abstractNumId w:val="82"/>
  </w:num>
  <w:num w:numId="7" w16cid:durableId="1721977003">
    <w:abstractNumId w:val="81"/>
  </w:num>
  <w:num w:numId="8" w16cid:durableId="394007940">
    <w:abstractNumId w:val="58"/>
  </w:num>
  <w:num w:numId="9" w16cid:durableId="743527198">
    <w:abstractNumId w:val="79"/>
  </w:num>
  <w:num w:numId="10" w16cid:durableId="1272201964">
    <w:abstractNumId w:val="107"/>
  </w:num>
  <w:num w:numId="11" w16cid:durableId="351494460">
    <w:abstractNumId w:val="63"/>
  </w:num>
  <w:num w:numId="12" w16cid:durableId="293756505">
    <w:abstractNumId w:val="76"/>
  </w:num>
  <w:num w:numId="13" w16cid:durableId="350569580">
    <w:abstractNumId w:val="114"/>
  </w:num>
  <w:num w:numId="14" w16cid:durableId="2139570284">
    <w:abstractNumId w:val="62"/>
  </w:num>
  <w:num w:numId="15" w16cid:durableId="1585408205">
    <w:abstractNumId w:val="70"/>
  </w:num>
  <w:num w:numId="16" w16cid:durableId="2010865080">
    <w:abstractNumId w:val="111"/>
  </w:num>
  <w:num w:numId="17" w16cid:durableId="42850480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02455551">
    <w:abstractNumId w:val="65"/>
  </w:num>
  <w:num w:numId="19" w16cid:durableId="1008869978">
    <w:abstractNumId w:val="0"/>
  </w:num>
  <w:num w:numId="20" w16cid:durableId="1893614163">
    <w:abstractNumId w:val="60"/>
  </w:num>
  <w:num w:numId="21" w16cid:durableId="322390321">
    <w:abstractNumId w:val="93"/>
  </w:num>
  <w:num w:numId="22" w16cid:durableId="657466967">
    <w:abstractNumId w:val="119"/>
  </w:num>
  <w:num w:numId="23" w16cid:durableId="1592735170">
    <w:abstractNumId w:val="90"/>
  </w:num>
  <w:num w:numId="24" w16cid:durableId="628826391">
    <w:abstractNumId w:val="101"/>
  </w:num>
  <w:num w:numId="25" w16cid:durableId="1039933520">
    <w:abstractNumId w:val="98"/>
  </w:num>
  <w:num w:numId="26" w16cid:durableId="2116753537">
    <w:abstractNumId w:val="106"/>
  </w:num>
  <w:num w:numId="27" w16cid:durableId="1041327259">
    <w:abstractNumId w:val="83"/>
  </w:num>
  <w:num w:numId="28" w16cid:durableId="1243953663">
    <w:abstractNumId w:val="57"/>
  </w:num>
  <w:num w:numId="29" w16cid:durableId="757020617">
    <w:abstractNumId w:val="85"/>
  </w:num>
  <w:num w:numId="30" w16cid:durableId="1351445176">
    <w:abstractNumId w:val="80"/>
  </w:num>
  <w:num w:numId="31" w16cid:durableId="1474180639">
    <w:abstractNumId w:val="88"/>
  </w:num>
  <w:num w:numId="32" w16cid:durableId="29261479">
    <w:abstractNumId w:val="89"/>
  </w:num>
  <w:num w:numId="33" w16cid:durableId="286476520">
    <w:abstractNumId w:val="105"/>
  </w:num>
  <w:num w:numId="34" w16cid:durableId="1328441573">
    <w:abstractNumId w:val="113"/>
  </w:num>
  <w:num w:numId="35" w16cid:durableId="250550984">
    <w:abstractNumId w:val="69"/>
  </w:num>
  <w:num w:numId="36" w16cid:durableId="1152792826">
    <w:abstractNumId w:val="94"/>
  </w:num>
  <w:num w:numId="37" w16cid:durableId="114835000">
    <w:abstractNumId w:val="103"/>
  </w:num>
  <w:num w:numId="38" w16cid:durableId="1304120440">
    <w:abstractNumId w:val="59"/>
  </w:num>
  <w:num w:numId="39" w16cid:durableId="1537429012">
    <w:abstractNumId w:val="67"/>
  </w:num>
  <w:num w:numId="40" w16cid:durableId="1072462218">
    <w:abstractNumId w:val="56"/>
  </w:num>
  <w:num w:numId="41" w16cid:durableId="1620994872">
    <w:abstractNumId w:val="64"/>
  </w:num>
  <w:num w:numId="42" w16cid:durableId="1560481899">
    <w:abstractNumId w:val="104"/>
  </w:num>
  <w:num w:numId="43" w16cid:durableId="1613129376">
    <w:abstractNumId w:val="87"/>
  </w:num>
  <w:num w:numId="44" w16cid:durableId="156579677">
    <w:abstractNumId w:val="66"/>
  </w:num>
  <w:num w:numId="45" w16cid:durableId="850142683">
    <w:abstractNumId w:val="116"/>
  </w:num>
  <w:num w:numId="46" w16cid:durableId="1914270599">
    <w:abstractNumId w:val="96"/>
  </w:num>
  <w:num w:numId="47" w16cid:durableId="763576253">
    <w:abstractNumId w:val="110"/>
  </w:num>
  <w:num w:numId="48" w16cid:durableId="902839103">
    <w:abstractNumId w:val="78"/>
  </w:num>
  <w:num w:numId="49" w16cid:durableId="499855695">
    <w:abstractNumId w:val="112"/>
  </w:num>
  <w:num w:numId="50" w16cid:durableId="295306411">
    <w:abstractNumId w:val="86"/>
  </w:num>
  <w:num w:numId="51" w16cid:durableId="610938519">
    <w:abstractNumId w:val="71"/>
  </w:num>
  <w:num w:numId="52" w16cid:durableId="1276864549">
    <w:abstractNumId w:val="72"/>
  </w:num>
  <w:num w:numId="53" w16cid:durableId="1056314913">
    <w:abstractNumId w:val="68"/>
  </w:num>
  <w:num w:numId="54" w16cid:durableId="1285498033">
    <w:abstractNumId w:val="95"/>
  </w:num>
  <w:num w:numId="55" w16cid:durableId="1853034911">
    <w:abstractNumId w:val="115"/>
  </w:num>
  <w:num w:numId="56" w16cid:durableId="213123946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26420801">
    <w:abstractNumId w:val="99"/>
  </w:num>
  <w:num w:numId="58" w16cid:durableId="583027962">
    <w:abstractNumId w:val="74"/>
  </w:num>
  <w:num w:numId="59" w16cid:durableId="1908684552">
    <w:abstractNumId w:val="84"/>
  </w:num>
  <w:num w:numId="60" w16cid:durableId="1279752713">
    <w:abstractNumId w:val="61"/>
  </w:num>
  <w:num w:numId="61" w16cid:durableId="1810857383">
    <w:abstractNumId w:val="77"/>
  </w:num>
  <w:num w:numId="62" w16cid:durableId="416632643">
    <w:abstractNumId w:val="117"/>
  </w:num>
  <w:num w:numId="63" w16cid:durableId="1045329618">
    <w:abstractNumId w:val="73"/>
  </w:num>
  <w:num w:numId="64" w16cid:durableId="1527712482">
    <w:abstractNumId w:val="100"/>
  </w:num>
  <w:num w:numId="65" w16cid:durableId="2086410049">
    <w:abstractNumId w:val="11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2C9"/>
    <w:rsid w:val="000007D1"/>
    <w:rsid w:val="00000EC9"/>
    <w:rsid w:val="00000F21"/>
    <w:rsid w:val="00001225"/>
    <w:rsid w:val="000020D7"/>
    <w:rsid w:val="00002EA9"/>
    <w:rsid w:val="00003DA4"/>
    <w:rsid w:val="00003DC1"/>
    <w:rsid w:val="00003E57"/>
    <w:rsid w:val="00004AB6"/>
    <w:rsid w:val="00006A2B"/>
    <w:rsid w:val="00006B79"/>
    <w:rsid w:val="00007AF7"/>
    <w:rsid w:val="0001039E"/>
    <w:rsid w:val="0001386E"/>
    <w:rsid w:val="00015E1D"/>
    <w:rsid w:val="00015E5C"/>
    <w:rsid w:val="00016203"/>
    <w:rsid w:val="00017A9B"/>
    <w:rsid w:val="00020664"/>
    <w:rsid w:val="00020E20"/>
    <w:rsid w:val="00021568"/>
    <w:rsid w:val="000217F6"/>
    <w:rsid w:val="00021DF4"/>
    <w:rsid w:val="000225FF"/>
    <w:rsid w:val="0002302B"/>
    <w:rsid w:val="00023791"/>
    <w:rsid w:val="00023C24"/>
    <w:rsid w:val="00024AEB"/>
    <w:rsid w:val="0002599A"/>
    <w:rsid w:val="0002664B"/>
    <w:rsid w:val="0003002B"/>
    <w:rsid w:val="000309F1"/>
    <w:rsid w:val="00030CBC"/>
    <w:rsid w:val="00031DE8"/>
    <w:rsid w:val="00033818"/>
    <w:rsid w:val="000351C7"/>
    <w:rsid w:val="00035BF8"/>
    <w:rsid w:val="00035F44"/>
    <w:rsid w:val="00036C3C"/>
    <w:rsid w:val="00037792"/>
    <w:rsid w:val="00037DC7"/>
    <w:rsid w:val="00037E94"/>
    <w:rsid w:val="000415F3"/>
    <w:rsid w:val="00041A44"/>
    <w:rsid w:val="00042827"/>
    <w:rsid w:val="000449AD"/>
    <w:rsid w:val="00045991"/>
    <w:rsid w:val="00045F14"/>
    <w:rsid w:val="0004707F"/>
    <w:rsid w:val="000501BB"/>
    <w:rsid w:val="00050614"/>
    <w:rsid w:val="00050993"/>
    <w:rsid w:val="00050FF4"/>
    <w:rsid w:val="000517A1"/>
    <w:rsid w:val="00052773"/>
    <w:rsid w:val="00052D71"/>
    <w:rsid w:val="00053A20"/>
    <w:rsid w:val="00054F32"/>
    <w:rsid w:val="00054FC3"/>
    <w:rsid w:val="00055417"/>
    <w:rsid w:val="00055E8B"/>
    <w:rsid w:val="000565E0"/>
    <w:rsid w:val="00056A6A"/>
    <w:rsid w:val="00056C38"/>
    <w:rsid w:val="00057019"/>
    <w:rsid w:val="00057844"/>
    <w:rsid w:val="00061416"/>
    <w:rsid w:val="00061920"/>
    <w:rsid w:val="000634F0"/>
    <w:rsid w:val="00063AF8"/>
    <w:rsid w:val="00063E6F"/>
    <w:rsid w:val="00063F33"/>
    <w:rsid w:val="00064311"/>
    <w:rsid w:val="00064C1E"/>
    <w:rsid w:val="00064D00"/>
    <w:rsid w:val="000654AD"/>
    <w:rsid w:val="00065609"/>
    <w:rsid w:val="00065BA9"/>
    <w:rsid w:val="00065BD6"/>
    <w:rsid w:val="000669CC"/>
    <w:rsid w:val="000670C6"/>
    <w:rsid w:val="00067B41"/>
    <w:rsid w:val="000702EB"/>
    <w:rsid w:val="00071242"/>
    <w:rsid w:val="00072A4B"/>
    <w:rsid w:val="00073805"/>
    <w:rsid w:val="00073A90"/>
    <w:rsid w:val="00074A2D"/>
    <w:rsid w:val="00074AFE"/>
    <w:rsid w:val="000750FD"/>
    <w:rsid w:val="00075158"/>
    <w:rsid w:val="00075643"/>
    <w:rsid w:val="00075CE4"/>
    <w:rsid w:val="00075CF4"/>
    <w:rsid w:val="00076D22"/>
    <w:rsid w:val="00077406"/>
    <w:rsid w:val="00077EF5"/>
    <w:rsid w:val="00082B5A"/>
    <w:rsid w:val="00082D10"/>
    <w:rsid w:val="000841C5"/>
    <w:rsid w:val="0008440A"/>
    <w:rsid w:val="0008445C"/>
    <w:rsid w:val="000844CA"/>
    <w:rsid w:val="000855E2"/>
    <w:rsid w:val="00085AB9"/>
    <w:rsid w:val="00085CBC"/>
    <w:rsid w:val="000864E2"/>
    <w:rsid w:val="000879B1"/>
    <w:rsid w:val="000901B8"/>
    <w:rsid w:val="00091A51"/>
    <w:rsid w:val="00091A9A"/>
    <w:rsid w:val="00091C4D"/>
    <w:rsid w:val="00091C8E"/>
    <w:rsid w:val="000920B3"/>
    <w:rsid w:val="000925A4"/>
    <w:rsid w:val="00092DDB"/>
    <w:rsid w:val="00094223"/>
    <w:rsid w:val="00095625"/>
    <w:rsid w:val="000965DA"/>
    <w:rsid w:val="00097D4B"/>
    <w:rsid w:val="00097F14"/>
    <w:rsid w:val="000A1585"/>
    <w:rsid w:val="000A266C"/>
    <w:rsid w:val="000A2ECA"/>
    <w:rsid w:val="000A33E7"/>
    <w:rsid w:val="000A63EA"/>
    <w:rsid w:val="000A67C7"/>
    <w:rsid w:val="000B1746"/>
    <w:rsid w:val="000B1B6A"/>
    <w:rsid w:val="000B2298"/>
    <w:rsid w:val="000B4374"/>
    <w:rsid w:val="000B46A5"/>
    <w:rsid w:val="000B4C8B"/>
    <w:rsid w:val="000B65F7"/>
    <w:rsid w:val="000B6ECC"/>
    <w:rsid w:val="000B7407"/>
    <w:rsid w:val="000C0359"/>
    <w:rsid w:val="000C1C4A"/>
    <w:rsid w:val="000C2BE4"/>
    <w:rsid w:val="000C327C"/>
    <w:rsid w:val="000C3765"/>
    <w:rsid w:val="000C3CD7"/>
    <w:rsid w:val="000C73E0"/>
    <w:rsid w:val="000C7497"/>
    <w:rsid w:val="000C7774"/>
    <w:rsid w:val="000C7825"/>
    <w:rsid w:val="000C7B76"/>
    <w:rsid w:val="000D08B7"/>
    <w:rsid w:val="000D113C"/>
    <w:rsid w:val="000D11AE"/>
    <w:rsid w:val="000D12C7"/>
    <w:rsid w:val="000D25F6"/>
    <w:rsid w:val="000D40DB"/>
    <w:rsid w:val="000D4E30"/>
    <w:rsid w:val="000D52FC"/>
    <w:rsid w:val="000D552E"/>
    <w:rsid w:val="000D5F67"/>
    <w:rsid w:val="000E028D"/>
    <w:rsid w:val="000E0622"/>
    <w:rsid w:val="000E10F7"/>
    <w:rsid w:val="000E167C"/>
    <w:rsid w:val="000E4D8E"/>
    <w:rsid w:val="000E533B"/>
    <w:rsid w:val="000E5962"/>
    <w:rsid w:val="000E59AA"/>
    <w:rsid w:val="000E6063"/>
    <w:rsid w:val="000F054C"/>
    <w:rsid w:val="000F08AC"/>
    <w:rsid w:val="000F229D"/>
    <w:rsid w:val="000F2470"/>
    <w:rsid w:val="000F3019"/>
    <w:rsid w:val="000F4099"/>
    <w:rsid w:val="000F4AB7"/>
    <w:rsid w:val="000F5C1A"/>
    <w:rsid w:val="000F5ED1"/>
    <w:rsid w:val="000F60E9"/>
    <w:rsid w:val="000F656A"/>
    <w:rsid w:val="000F671B"/>
    <w:rsid w:val="000F6D76"/>
    <w:rsid w:val="000F716D"/>
    <w:rsid w:val="000F78A5"/>
    <w:rsid w:val="000F7A93"/>
    <w:rsid w:val="001001CB"/>
    <w:rsid w:val="00100250"/>
    <w:rsid w:val="001008CF"/>
    <w:rsid w:val="001015BC"/>
    <w:rsid w:val="001016F0"/>
    <w:rsid w:val="001021F6"/>
    <w:rsid w:val="00102CDC"/>
    <w:rsid w:val="00102F6A"/>
    <w:rsid w:val="0010305C"/>
    <w:rsid w:val="00103537"/>
    <w:rsid w:val="001039D3"/>
    <w:rsid w:val="00103B91"/>
    <w:rsid w:val="001047C5"/>
    <w:rsid w:val="00104F93"/>
    <w:rsid w:val="00105C21"/>
    <w:rsid w:val="00107BBF"/>
    <w:rsid w:val="00110645"/>
    <w:rsid w:val="001106A0"/>
    <w:rsid w:val="0011070F"/>
    <w:rsid w:val="00111CBF"/>
    <w:rsid w:val="00112E45"/>
    <w:rsid w:val="00112FBB"/>
    <w:rsid w:val="00114311"/>
    <w:rsid w:val="0011438C"/>
    <w:rsid w:val="001146EB"/>
    <w:rsid w:val="0011514F"/>
    <w:rsid w:val="0011562B"/>
    <w:rsid w:val="00115F3F"/>
    <w:rsid w:val="0011659C"/>
    <w:rsid w:val="00116E64"/>
    <w:rsid w:val="00117182"/>
    <w:rsid w:val="00117197"/>
    <w:rsid w:val="0011757C"/>
    <w:rsid w:val="001175EB"/>
    <w:rsid w:val="001176D0"/>
    <w:rsid w:val="001179EA"/>
    <w:rsid w:val="00120A92"/>
    <w:rsid w:val="00121442"/>
    <w:rsid w:val="00122D57"/>
    <w:rsid w:val="00123A7C"/>
    <w:rsid w:val="001242A3"/>
    <w:rsid w:val="001244BC"/>
    <w:rsid w:val="0012453C"/>
    <w:rsid w:val="001263F9"/>
    <w:rsid w:val="00126B9B"/>
    <w:rsid w:val="00126FF6"/>
    <w:rsid w:val="001278C8"/>
    <w:rsid w:val="00127F27"/>
    <w:rsid w:val="001301FD"/>
    <w:rsid w:val="00130594"/>
    <w:rsid w:val="001306BA"/>
    <w:rsid w:val="0013077E"/>
    <w:rsid w:val="001308A9"/>
    <w:rsid w:val="00130D31"/>
    <w:rsid w:val="00130E6E"/>
    <w:rsid w:val="001311C1"/>
    <w:rsid w:val="0013157C"/>
    <w:rsid w:val="00131594"/>
    <w:rsid w:val="00132E89"/>
    <w:rsid w:val="00132FE8"/>
    <w:rsid w:val="0013319B"/>
    <w:rsid w:val="001335FA"/>
    <w:rsid w:val="00133CE1"/>
    <w:rsid w:val="00135C3B"/>
    <w:rsid w:val="001371CC"/>
    <w:rsid w:val="00137A5B"/>
    <w:rsid w:val="00137D23"/>
    <w:rsid w:val="00140A19"/>
    <w:rsid w:val="0014101E"/>
    <w:rsid w:val="00141621"/>
    <w:rsid w:val="0014175F"/>
    <w:rsid w:val="00142C9F"/>
    <w:rsid w:val="00142FC1"/>
    <w:rsid w:val="001435A1"/>
    <w:rsid w:val="0014526E"/>
    <w:rsid w:val="00145553"/>
    <w:rsid w:val="00145B40"/>
    <w:rsid w:val="00145E0D"/>
    <w:rsid w:val="00145EFD"/>
    <w:rsid w:val="00147785"/>
    <w:rsid w:val="00147C01"/>
    <w:rsid w:val="00151339"/>
    <w:rsid w:val="00151D45"/>
    <w:rsid w:val="0015407A"/>
    <w:rsid w:val="001540B5"/>
    <w:rsid w:val="00155BDD"/>
    <w:rsid w:val="0015657B"/>
    <w:rsid w:val="0015672A"/>
    <w:rsid w:val="001568B6"/>
    <w:rsid w:val="00156F68"/>
    <w:rsid w:val="00157288"/>
    <w:rsid w:val="00157376"/>
    <w:rsid w:val="00157654"/>
    <w:rsid w:val="00157809"/>
    <w:rsid w:val="00157F06"/>
    <w:rsid w:val="00161B06"/>
    <w:rsid w:val="00161B0B"/>
    <w:rsid w:val="001621C1"/>
    <w:rsid w:val="001627AC"/>
    <w:rsid w:val="00163176"/>
    <w:rsid w:val="001634A3"/>
    <w:rsid w:val="0016467A"/>
    <w:rsid w:val="00164D05"/>
    <w:rsid w:val="001650CF"/>
    <w:rsid w:val="001658E9"/>
    <w:rsid w:val="001678C2"/>
    <w:rsid w:val="00170407"/>
    <w:rsid w:val="0017098F"/>
    <w:rsid w:val="00170B56"/>
    <w:rsid w:val="0017245F"/>
    <w:rsid w:val="00172FD6"/>
    <w:rsid w:val="0017323C"/>
    <w:rsid w:val="00173733"/>
    <w:rsid w:val="00173B80"/>
    <w:rsid w:val="00173E09"/>
    <w:rsid w:val="0017432D"/>
    <w:rsid w:val="0017538C"/>
    <w:rsid w:val="001758E8"/>
    <w:rsid w:val="0017641C"/>
    <w:rsid w:val="00176434"/>
    <w:rsid w:val="00177675"/>
    <w:rsid w:val="001779D1"/>
    <w:rsid w:val="00177D4F"/>
    <w:rsid w:val="00180EA0"/>
    <w:rsid w:val="00181441"/>
    <w:rsid w:val="00181609"/>
    <w:rsid w:val="001822F6"/>
    <w:rsid w:val="00182604"/>
    <w:rsid w:val="00182CFC"/>
    <w:rsid w:val="00182E6A"/>
    <w:rsid w:val="00184962"/>
    <w:rsid w:val="00185D92"/>
    <w:rsid w:val="00190368"/>
    <w:rsid w:val="00190EB6"/>
    <w:rsid w:val="00191FE7"/>
    <w:rsid w:val="00192629"/>
    <w:rsid w:val="00193542"/>
    <w:rsid w:val="001958AC"/>
    <w:rsid w:val="00196279"/>
    <w:rsid w:val="00196944"/>
    <w:rsid w:val="001969C8"/>
    <w:rsid w:val="001979F4"/>
    <w:rsid w:val="001A03B8"/>
    <w:rsid w:val="001A0C68"/>
    <w:rsid w:val="001A2174"/>
    <w:rsid w:val="001A26DF"/>
    <w:rsid w:val="001A2841"/>
    <w:rsid w:val="001A34E4"/>
    <w:rsid w:val="001A4942"/>
    <w:rsid w:val="001A5B74"/>
    <w:rsid w:val="001A5C1B"/>
    <w:rsid w:val="001A648F"/>
    <w:rsid w:val="001A6F1D"/>
    <w:rsid w:val="001A735E"/>
    <w:rsid w:val="001B06DA"/>
    <w:rsid w:val="001B093E"/>
    <w:rsid w:val="001B1997"/>
    <w:rsid w:val="001B1F1F"/>
    <w:rsid w:val="001B392A"/>
    <w:rsid w:val="001B46CD"/>
    <w:rsid w:val="001B4C84"/>
    <w:rsid w:val="001B4D77"/>
    <w:rsid w:val="001B56DF"/>
    <w:rsid w:val="001B6631"/>
    <w:rsid w:val="001B6982"/>
    <w:rsid w:val="001C064E"/>
    <w:rsid w:val="001C0C64"/>
    <w:rsid w:val="001C120A"/>
    <w:rsid w:val="001C16B1"/>
    <w:rsid w:val="001C1C63"/>
    <w:rsid w:val="001C1D52"/>
    <w:rsid w:val="001C1F65"/>
    <w:rsid w:val="001C3B3E"/>
    <w:rsid w:val="001C4091"/>
    <w:rsid w:val="001C44B7"/>
    <w:rsid w:val="001C5731"/>
    <w:rsid w:val="001C5A13"/>
    <w:rsid w:val="001C5ACA"/>
    <w:rsid w:val="001C67E4"/>
    <w:rsid w:val="001C7FA6"/>
    <w:rsid w:val="001D1775"/>
    <w:rsid w:val="001D1944"/>
    <w:rsid w:val="001D2C90"/>
    <w:rsid w:val="001D2DF6"/>
    <w:rsid w:val="001D3813"/>
    <w:rsid w:val="001D3B61"/>
    <w:rsid w:val="001D3CD2"/>
    <w:rsid w:val="001D3D16"/>
    <w:rsid w:val="001D3E24"/>
    <w:rsid w:val="001D3ED5"/>
    <w:rsid w:val="001D420F"/>
    <w:rsid w:val="001D50DF"/>
    <w:rsid w:val="001D5168"/>
    <w:rsid w:val="001D6151"/>
    <w:rsid w:val="001D621D"/>
    <w:rsid w:val="001D77A1"/>
    <w:rsid w:val="001E1AF2"/>
    <w:rsid w:val="001E1BEC"/>
    <w:rsid w:val="001E208C"/>
    <w:rsid w:val="001E218E"/>
    <w:rsid w:val="001E2252"/>
    <w:rsid w:val="001E2E66"/>
    <w:rsid w:val="001E2F5F"/>
    <w:rsid w:val="001E3159"/>
    <w:rsid w:val="001E3C01"/>
    <w:rsid w:val="001E3D9B"/>
    <w:rsid w:val="001E3E44"/>
    <w:rsid w:val="001E41FA"/>
    <w:rsid w:val="001E4218"/>
    <w:rsid w:val="001E5A71"/>
    <w:rsid w:val="001E6BA6"/>
    <w:rsid w:val="001E6F56"/>
    <w:rsid w:val="001E7FDC"/>
    <w:rsid w:val="001F04E0"/>
    <w:rsid w:val="001F30E7"/>
    <w:rsid w:val="001F34EF"/>
    <w:rsid w:val="001F416C"/>
    <w:rsid w:val="001F59E2"/>
    <w:rsid w:val="001F6E7F"/>
    <w:rsid w:val="001F7BBB"/>
    <w:rsid w:val="00200461"/>
    <w:rsid w:val="00200B37"/>
    <w:rsid w:val="00200EB8"/>
    <w:rsid w:val="002011F9"/>
    <w:rsid w:val="002024F3"/>
    <w:rsid w:val="0020253F"/>
    <w:rsid w:val="0020483A"/>
    <w:rsid w:val="00205CCF"/>
    <w:rsid w:val="00205EAB"/>
    <w:rsid w:val="00205EC8"/>
    <w:rsid w:val="00206091"/>
    <w:rsid w:val="00206B7C"/>
    <w:rsid w:val="00206E57"/>
    <w:rsid w:val="00207D52"/>
    <w:rsid w:val="00210582"/>
    <w:rsid w:val="00210FA8"/>
    <w:rsid w:val="00211846"/>
    <w:rsid w:val="00211DDD"/>
    <w:rsid w:val="00211EB8"/>
    <w:rsid w:val="0021210E"/>
    <w:rsid w:val="002125DD"/>
    <w:rsid w:val="00213C58"/>
    <w:rsid w:val="0021571B"/>
    <w:rsid w:val="00215824"/>
    <w:rsid w:val="00215BB9"/>
    <w:rsid w:val="0021647C"/>
    <w:rsid w:val="002170BD"/>
    <w:rsid w:val="002175DE"/>
    <w:rsid w:val="002179B4"/>
    <w:rsid w:val="00217F4A"/>
    <w:rsid w:val="00220DFF"/>
    <w:rsid w:val="002212E8"/>
    <w:rsid w:val="002221DC"/>
    <w:rsid w:val="00222746"/>
    <w:rsid w:val="0022302A"/>
    <w:rsid w:val="002234BE"/>
    <w:rsid w:val="002243DD"/>
    <w:rsid w:val="00224E22"/>
    <w:rsid w:val="00225EBC"/>
    <w:rsid w:val="0022643F"/>
    <w:rsid w:val="00230279"/>
    <w:rsid w:val="00230408"/>
    <w:rsid w:val="00232622"/>
    <w:rsid w:val="002334F3"/>
    <w:rsid w:val="00233747"/>
    <w:rsid w:val="00233966"/>
    <w:rsid w:val="00233AFB"/>
    <w:rsid w:val="00234009"/>
    <w:rsid w:val="00234708"/>
    <w:rsid w:val="00234BEE"/>
    <w:rsid w:val="00234F99"/>
    <w:rsid w:val="0023515D"/>
    <w:rsid w:val="002355A2"/>
    <w:rsid w:val="00236F47"/>
    <w:rsid w:val="00237372"/>
    <w:rsid w:val="00237AA0"/>
    <w:rsid w:val="00240195"/>
    <w:rsid w:val="00240208"/>
    <w:rsid w:val="00240A0E"/>
    <w:rsid w:val="002412A5"/>
    <w:rsid w:val="002416C5"/>
    <w:rsid w:val="00242805"/>
    <w:rsid w:val="0024312F"/>
    <w:rsid w:val="002436BF"/>
    <w:rsid w:val="00243F2E"/>
    <w:rsid w:val="0024440D"/>
    <w:rsid w:val="0024524D"/>
    <w:rsid w:val="002476AC"/>
    <w:rsid w:val="0024799C"/>
    <w:rsid w:val="00250835"/>
    <w:rsid w:val="002510AA"/>
    <w:rsid w:val="002523F0"/>
    <w:rsid w:val="0025287B"/>
    <w:rsid w:val="002532F6"/>
    <w:rsid w:val="00253CA6"/>
    <w:rsid w:val="00253E8B"/>
    <w:rsid w:val="002544CC"/>
    <w:rsid w:val="00255CFB"/>
    <w:rsid w:val="002562C8"/>
    <w:rsid w:val="0025647C"/>
    <w:rsid w:val="002604C3"/>
    <w:rsid w:val="00261ACD"/>
    <w:rsid w:val="002621C1"/>
    <w:rsid w:val="002623E8"/>
    <w:rsid w:val="0026374F"/>
    <w:rsid w:val="00265CA9"/>
    <w:rsid w:val="00266F44"/>
    <w:rsid w:val="00266FCC"/>
    <w:rsid w:val="002672F6"/>
    <w:rsid w:val="002678A4"/>
    <w:rsid w:val="00267E8E"/>
    <w:rsid w:val="00267F98"/>
    <w:rsid w:val="002702C9"/>
    <w:rsid w:val="00270645"/>
    <w:rsid w:val="00270B2D"/>
    <w:rsid w:val="00270E8F"/>
    <w:rsid w:val="00271919"/>
    <w:rsid w:val="00272040"/>
    <w:rsid w:val="00272BEF"/>
    <w:rsid w:val="002737C8"/>
    <w:rsid w:val="002743B2"/>
    <w:rsid w:val="00274592"/>
    <w:rsid w:val="0027677F"/>
    <w:rsid w:val="00276F0C"/>
    <w:rsid w:val="0027704B"/>
    <w:rsid w:val="00277767"/>
    <w:rsid w:val="00281C78"/>
    <w:rsid w:val="002833A6"/>
    <w:rsid w:val="00283906"/>
    <w:rsid w:val="002841DD"/>
    <w:rsid w:val="00284396"/>
    <w:rsid w:val="002845B5"/>
    <w:rsid w:val="002846B2"/>
    <w:rsid w:val="00284E7C"/>
    <w:rsid w:val="00284E97"/>
    <w:rsid w:val="0028640E"/>
    <w:rsid w:val="00286DFB"/>
    <w:rsid w:val="00287681"/>
    <w:rsid w:val="00287847"/>
    <w:rsid w:val="00287C15"/>
    <w:rsid w:val="0029243E"/>
    <w:rsid w:val="0029366A"/>
    <w:rsid w:val="00293E35"/>
    <w:rsid w:val="00293EE4"/>
    <w:rsid w:val="00294BC7"/>
    <w:rsid w:val="0029585A"/>
    <w:rsid w:val="00296085"/>
    <w:rsid w:val="002965A4"/>
    <w:rsid w:val="00296DDC"/>
    <w:rsid w:val="00296DE0"/>
    <w:rsid w:val="0029708F"/>
    <w:rsid w:val="0029738C"/>
    <w:rsid w:val="00297927"/>
    <w:rsid w:val="00297C39"/>
    <w:rsid w:val="002A0C65"/>
    <w:rsid w:val="002A1487"/>
    <w:rsid w:val="002A1A1D"/>
    <w:rsid w:val="002A2012"/>
    <w:rsid w:val="002A2BF0"/>
    <w:rsid w:val="002A2D92"/>
    <w:rsid w:val="002A3053"/>
    <w:rsid w:val="002A3071"/>
    <w:rsid w:val="002A3355"/>
    <w:rsid w:val="002A383B"/>
    <w:rsid w:val="002A4189"/>
    <w:rsid w:val="002A4265"/>
    <w:rsid w:val="002A4476"/>
    <w:rsid w:val="002A4CE1"/>
    <w:rsid w:val="002A5386"/>
    <w:rsid w:val="002A56DD"/>
    <w:rsid w:val="002A5C29"/>
    <w:rsid w:val="002A68E6"/>
    <w:rsid w:val="002A6985"/>
    <w:rsid w:val="002A6F8B"/>
    <w:rsid w:val="002A6F95"/>
    <w:rsid w:val="002B04CB"/>
    <w:rsid w:val="002B0E2E"/>
    <w:rsid w:val="002B164F"/>
    <w:rsid w:val="002B19F9"/>
    <w:rsid w:val="002B2020"/>
    <w:rsid w:val="002B2D7C"/>
    <w:rsid w:val="002B2ED1"/>
    <w:rsid w:val="002B3789"/>
    <w:rsid w:val="002B3844"/>
    <w:rsid w:val="002B3BAE"/>
    <w:rsid w:val="002B4FFC"/>
    <w:rsid w:val="002B5956"/>
    <w:rsid w:val="002B7295"/>
    <w:rsid w:val="002B7D4D"/>
    <w:rsid w:val="002C0A9C"/>
    <w:rsid w:val="002C0EB5"/>
    <w:rsid w:val="002C28BA"/>
    <w:rsid w:val="002C391E"/>
    <w:rsid w:val="002C4644"/>
    <w:rsid w:val="002C5292"/>
    <w:rsid w:val="002C5A85"/>
    <w:rsid w:val="002C5D64"/>
    <w:rsid w:val="002C6851"/>
    <w:rsid w:val="002C7E3A"/>
    <w:rsid w:val="002D028D"/>
    <w:rsid w:val="002D0DB3"/>
    <w:rsid w:val="002D3817"/>
    <w:rsid w:val="002D4AA7"/>
    <w:rsid w:val="002D54A9"/>
    <w:rsid w:val="002D5AB0"/>
    <w:rsid w:val="002D63AB"/>
    <w:rsid w:val="002D63D0"/>
    <w:rsid w:val="002D658E"/>
    <w:rsid w:val="002D6949"/>
    <w:rsid w:val="002D6EF1"/>
    <w:rsid w:val="002D7B8D"/>
    <w:rsid w:val="002E0FE2"/>
    <w:rsid w:val="002E1813"/>
    <w:rsid w:val="002E211C"/>
    <w:rsid w:val="002E4708"/>
    <w:rsid w:val="002E4E3A"/>
    <w:rsid w:val="002E66F0"/>
    <w:rsid w:val="002E6C75"/>
    <w:rsid w:val="002E6FF6"/>
    <w:rsid w:val="002E7100"/>
    <w:rsid w:val="002F041E"/>
    <w:rsid w:val="002F078B"/>
    <w:rsid w:val="002F0987"/>
    <w:rsid w:val="002F2323"/>
    <w:rsid w:val="002F2415"/>
    <w:rsid w:val="002F26A8"/>
    <w:rsid w:val="002F27C6"/>
    <w:rsid w:val="002F280A"/>
    <w:rsid w:val="002F332F"/>
    <w:rsid w:val="002F362C"/>
    <w:rsid w:val="002F46DC"/>
    <w:rsid w:val="002F4B02"/>
    <w:rsid w:val="002F4CFA"/>
    <w:rsid w:val="002F5B29"/>
    <w:rsid w:val="002F6099"/>
    <w:rsid w:val="002F6EEC"/>
    <w:rsid w:val="002F73D3"/>
    <w:rsid w:val="002F76F8"/>
    <w:rsid w:val="00302EC7"/>
    <w:rsid w:val="00305086"/>
    <w:rsid w:val="0030536A"/>
    <w:rsid w:val="00305744"/>
    <w:rsid w:val="00305A91"/>
    <w:rsid w:val="00305F6A"/>
    <w:rsid w:val="00307965"/>
    <w:rsid w:val="00310368"/>
    <w:rsid w:val="003108F1"/>
    <w:rsid w:val="00310AE5"/>
    <w:rsid w:val="00310F86"/>
    <w:rsid w:val="00311044"/>
    <w:rsid w:val="003118C0"/>
    <w:rsid w:val="003119FC"/>
    <w:rsid w:val="0031296E"/>
    <w:rsid w:val="00312BAA"/>
    <w:rsid w:val="003134A4"/>
    <w:rsid w:val="00314380"/>
    <w:rsid w:val="00314864"/>
    <w:rsid w:val="003152AC"/>
    <w:rsid w:val="00315887"/>
    <w:rsid w:val="00315CE2"/>
    <w:rsid w:val="00316EEE"/>
    <w:rsid w:val="003171F9"/>
    <w:rsid w:val="00320E3C"/>
    <w:rsid w:val="003218D4"/>
    <w:rsid w:val="00321F55"/>
    <w:rsid w:val="00321F56"/>
    <w:rsid w:val="00325F3D"/>
    <w:rsid w:val="00327718"/>
    <w:rsid w:val="0032778B"/>
    <w:rsid w:val="00330248"/>
    <w:rsid w:val="003303FA"/>
    <w:rsid w:val="003311B0"/>
    <w:rsid w:val="00331911"/>
    <w:rsid w:val="00331BF0"/>
    <w:rsid w:val="0033220C"/>
    <w:rsid w:val="00332CF6"/>
    <w:rsid w:val="0033343B"/>
    <w:rsid w:val="00333956"/>
    <w:rsid w:val="00333FC4"/>
    <w:rsid w:val="003343E9"/>
    <w:rsid w:val="003347BE"/>
    <w:rsid w:val="003349D8"/>
    <w:rsid w:val="00335D0F"/>
    <w:rsid w:val="00335D31"/>
    <w:rsid w:val="003360DB"/>
    <w:rsid w:val="00336759"/>
    <w:rsid w:val="003367CC"/>
    <w:rsid w:val="003370E5"/>
    <w:rsid w:val="00337C2C"/>
    <w:rsid w:val="00342575"/>
    <w:rsid w:val="00342CDF"/>
    <w:rsid w:val="00342F0B"/>
    <w:rsid w:val="0034326F"/>
    <w:rsid w:val="00343465"/>
    <w:rsid w:val="003434EF"/>
    <w:rsid w:val="0034374F"/>
    <w:rsid w:val="00344AE9"/>
    <w:rsid w:val="00344C9E"/>
    <w:rsid w:val="0034552E"/>
    <w:rsid w:val="0034609D"/>
    <w:rsid w:val="0034649D"/>
    <w:rsid w:val="00346FCC"/>
    <w:rsid w:val="00350378"/>
    <w:rsid w:val="0035058D"/>
    <w:rsid w:val="00350F3B"/>
    <w:rsid w:val="00351B29"/>
    <w:rsid w:val="003533C3"/>
    <w:rsid w:val="00353A21"/>
    <w:rsid w:val="00353DD2"/>
    <w:rsid w:val="00354212"/>
    <w:rsid w:val="00354336"/>
    <w:rsid w:val="003544EA"/>
    <w:rsid w:val="00355F32"/>
    <w:rsid w:val="003576B6"/>
    <w:rsid w:val="00357F8B"/>
    <w:rsid w:val="00360554"/>
    <w:rsid w:val="00360B53"/>
    <w:rsid w:val="00360FAB"/>
    <w:rsid w:val="00362AF9"/>
    <w:rsid w:val="003631C5"/>
    <w:rsid w:val="00363521"/>
    <w:rsid w:val="00363CDF"/>
    <w:rsid w:val="00364051"/>
    <w:rsid w:val="00366BBE"/>
    <w:rsid w:val="0037066F"/>
    <w:rsid w:val="003706E0"/>
    <w:rsid w:val="00370A9F"/>
    <w:rsid w:val="00371B9A"/>
    <w:rsid w:val="003728A6"/>
    <w:rsid w:val="00373A48"/>
    <w:rsid w:val="00373ED6"/>
    <w:rsid w:val="003740EE"/>
    <w:rsid w:val="00374574"/>
    <w:rsid w:val="00374B73"/>
    <w:rsid w:val="00375634"/>
    <w:rsid w:val="0037717E"/>
    <w:rsid w:val="00377B0E"/>
    <w:rsid w:val="00380637"/>
    <w:rsid w:val="003818E0"/>
    <w:rsid w:val="0038256C"/>
    <w:rsid w:val="00382581"/>
    <w:rsid w:val="00382A09"/>
    <w:rsid w:val="00382CC0"/>
    <w:rsid w:val="0038313E"/>
    <w:rsid w:val="003836E9"/>
    <w:rsid w:val="00384F46"/>
    <w:rsid w:val="0038563B"/>
    <w:rsid w:val="003863E5"/>
    <w:rsid w:val="00386933"/>
    <w:rsid w:val="00386E31"/>
    <w:rsid w:val="0039074D"/>
    <w:rsid w:val="00390F1E"/>
    <w:rsid w:val="00391685"/>
    <w:rsid w:val="00391A6F"/>
    <w:rsid w:val="00391D93"/>
    <w:rsid w:val="00395C58"/>
    <w:rsid w:val="00395D25"/>
    <w:rsid w:val="0039639A"/>
    <w:rsid w:val="003965C8"/>
    <w:rsid w:val="00396D32"/>
    <w:rsid w:val="00396E14"/>
    <w:rsid w:val="00397967"/>
    <w:rsid w:val="00397D25"/>
    <w:rsid w:val="003A0246"/>
    <w:rsid w:val="003A0D22"/>
    <w:rsid w:val="003A1ED2"/>
    <w:rsid w:val="003A1F78"/>
    <w:rsid w:val="003A2920"/>
    <w:rsid w:val="003A3728"/>
    <w:rsid w:val="003A4FFA"/>
    <w:rsid w:val="003A5AE9"/>
    <w:rsid w:val="003A6F55"/>
    <w:rsid w:val="003A7324"/>
    <w:rsid w:val="003B029A"/>
    <w:rsid w:val="003B0381"/>
    <w:rsid w:val="003B18F0"/>
    <w:rsid w:val="003B2364"/>
    <w:rsid w:val="003B2BD4"/>
    <w:rsid w:val="003B3522"/>
    <w:rsid w:val="003B3533"/>
    <w:rsid w:val="003B3FA3"/>
    <w:rsid w:val="003B4F81"/>
    <w:rsid w:val="003B5522"/>
    <w:rsid w:val="003B58D4"/>
    <w:rsid w:val="003B6B10"/>
    <w:rsid w:val="003B751D"/>
    <w:rsid w:val="003B77F9"/>
    <w:rsid w:val="003B79F0"/>
    <w:rsid w:val="003C0553"/>
    <w:rsid w:val="003C0D3E"/>
    <w:rsid w:val="003C0EB5"/>
    <w:rsid w:val="003C153E"/>
    <w:rsid w:val="003C185B"/>
    <w:rsid w:val="003C2769"/>
    <w:rsid w:val="003C2A85"/>
    <w:rsid w:val="003C3022"/>
    <w:rsid w:val="003C3738"/>
    <w:rsid w:val="003C3F75"/>
    <w:rsid w:val="003C3FBF"/>
    <w:rsid w:val="003C4C71"/>
    <w:rsid w:val="003C5325"/>
    <w:rsid w:val="003C5BBB"/>
    <w:rsid w:val="003C64BB"/>
    <w:rsid w:val="003C6B47"/>
    <w:rsid w:val="003C6BA6"/>
    <w:rsid w:val="003C7B2A"/>
    <w:rsid w:val="003C7C6F"/>
    <w:rsid w:val="003C7D01"/>
    <w:rsid w:val="003D03D8"/>
    <w:rsid w:val="003D051D"/>
    <w:rsid w:val="003D064E"/>
    <w:rsid w:val="003D1C28"/>
    <w:rsid w:val="003D1D83"/>
    <w:rsid w:val="003D256C"/>
    <w:rsid w:val="003D35C3"/>
    <w:rsid w:val="003D571A"/>
    <w:rsid w:val="003D660A"/>
    <w:rsid w:val="003D6C63"/>
    <w:rsid w:val="003D7775"/>
    <w:rsid w:val="003E0531"/>
    <w:rsid w:val="003E0F7D"/>
    <w:rsid w:val="003E0FC3"/>
    <w:rsid w:val="003E207D"/>
    <w:rsid w:val="003E266C"/>
    <w:rsid w:val="003E324C"/>
    <w:rsid w:val="003E478B"/>
    <w:rsid w:val="003E5BE8"/>
    <w:rsid w:val="003E77A2"/>
    <w:rsid w:val="003E7B0D"/>
    <w:rsid w:val="003E7DB9"/>
    <w:rsid w:val="003F0E54"/>
    <w:rsid w:val="003F1366"/>
    <w:rsid w:val="003F13B8"/>
    <w:rsid w:val="003F227E"/>
    <w:rsid w:val="003F3291"/>
    <w:rsid w:val="003F40E6"/>
    <w:rsid w:val="003F499E"/>
    <w:rsid w:val="003F5012"/>
    <w:rsid w:val="003F568D"/>
    <w:rsid w:val="003F64CC"/>
    <w:rsid w:val="003F7C23"/>
    <w:rsid w:val="004000CC"/>
    <w:rsid w:val="00400479"/>
    <w:rsid w:val="00401508"/>
    <w:rsid w:val="00401CDA"/>
    <w:rsid w:val="00401FEE"/>
    <w:rsid w:val="00402648"/>
    <w:rsid w:val="00402C02"/>
    <w:rsid w:val="00402FBE"/>
    <w:rsid w:val="004039E5"/>
    <w:rsid w:val="00404011"/>
    <w:rsid w:val="0040476B"/>
    <w:rsid w:val="00405ED2"/>
    <w:rsid w:val="004073C4"/>
    <w:rsid w:val="00407A77"/>
    <w:rsid w:val="0041075C"/>
    <w:rsid w:val="00410883"/>
    <w:rsid w:val="00410988"/>
    <w:rsid w:val="00412951"/>
    <w:rsid w:val="00412B2C"/>
    <w:rsid w:val="00413887"/>
    <w:rsid w:val="00413AA4"/>
    <w:rsid w:val="00413D38"/>
    <w:rsid w:val="00413D9C"/>
    <w:rsid w:val="004141DF"/>
    <w:rsid w:val="00415839"/>
    <w:rsid w:val="004159D5"/>
    <w:rsid w:val="00415DD2"/>
    <w:rsid w:val="00416A8C"/>
    <w:rsid w:val="004172F3"/>
    <w:rsid w:val="004175F3"/>
    <w:rsid w:val="004178C7"/>
    <w:rsid w:val="00417CF3"/>
    <w:rsid w:val="00417CFF"/>
    <w:rsid w:val="0042077D"/>
    <w:rsid w:val="00420A4E"/>
    <w:rsid w:val="00420C05"/>
    <w:rsid w:val="004216A9"/>
    <w:rsid w:val="00422A81"/>
    <w:rsid w:val="00423055"/>
    <w:rsid w:val="004230D3"/>
    <w:rsid w:val="004231B5"/>
    <w:rsid w:val="00423BDD"/>
    <w:rsid w:val="0042412F"/>
    <w:rsid w:val="00424624"/>
    <w:rsid w:val="00424910"/>
    <w:rsid w:val="004252C9"/>
    <w:rsid w:val="00425B2D"/>
    <w:rsid w:val="00425B7F"/>
    <w:rsid w:val="00427D40"/>
    <w:rsid w:val="004303DE"/>
    <w:rsid w:val="0043100A"/>
    <w:rsid w:val="0043166D"/>
    <w:rsid w:val="00431EEC"/>
    <w:rsid w:val="00432FB4"/>
    <w:rsid w:val="00433590"/>
    <w:rsid w:val="00433949"/>
    <w:rsid w:val="0043560A"/>
    <w:rsid w:val="00436017"/>
    <w:rsid w:val="004367F8"/>
    <w:rsid w:val="0043688C"/>
    <w:rsid w:val="0043743D"/>
    <w:rsid w:val="00437C80"/>
    <w:rsid w:val="00437DE7"/>
    <w:rsid w:val="004403A5"/>
    <w:rsid w:val="0044126C"/>
    <w:rsid w:val="00442561"/>
    <w:rsid w:val="00442E5F"/>
    <w:rsid w:val="00442F0E"/>
    <w:rsid w:val="00443F8E"/>
    <w:rsid w:val="0044404C"/>
    <w:rsid w:val="004441D8"/>
    <w:rsid w:val="00444546"/>
    <w:rsid w:val="0044472F"/>
    <w:rsid w:val="00444B70"/>
    <w:rsid w:val="00444F1C"/>
    <w:rsid w:val="004469AA"/>
    <w:rsid w:val="004503E2"/>
    <w:rsid w:val="00450EF8"/>
    <w:rsid w:val="0045188B"/>
    <w:rsid w:val="004520EE"/>
    <w:rsid w:val="00453026"/>
    <w:rsid w:val="00454CE1"/>
    <w:rsid w:val="00454D4B"/>
    <w:rsid w:val="00457FD0"/>
    <w:rsid w:val="004603C0"/>
    <w:rsid w:val="00460F5F"/>
    <w:rsid w:val="00462719"/>
    <w:rsid w:val="004645A1"/>
    <w:rsid w:val="004646B9"/>
    <w:rsid w:val="00464F23"/>
    <w:rsid w:val="004650E6"/>
    <w:rsid w:val="00465387"/>
    <w:rsid w:val="00465538"/>
    <w:rsid w:val="00466C35"/>
    <w:rsid w:val="00466CF6"/>
    <w:rsid w:val="0046744D"/>
    <w:rsid w:val="00467BB5"/>
    <w:rsid w:val="0047147D"/>
    <w:rsid w:val="00472599"/>
    <w:rsid w:val="00472A1E"/>
    <w:rsid w:val="00472AE4"/>
    <w:rsid w:val="00473DCB"/>
    <w:rsid w:val="0047414D"/>
    <w:rsid w:val="004755EB"/>
    <w:rsid w:val="00475F6C"/>
    <w:rsid w:val="00476A9B"/>
    <w:rsid w:val="0047701D"/>
    <w:rsid w:val="00477616"/>
    <w:rsid w:val="00477B91"/>
    <w:rsid w:val="00477D31"/>
    <w:rsid w:val="00477D33"/>
    <w:rsid w:val="0048050F"/>
    <w:rsid w:val="004812C8"/>
    <w:rsid w:val="00481C2A"/>
    <w:rsid w:val="0048263C"/>
    <w:rsid w:val="0048312A"/>
    <w:rsid w:val="004842B5"/>
    <w:rsid w:val="00484A26"/>
    <w:rsid w:val="00484FBA"/>
    <w:rsid w:val="0048682B"/>
    <w:rsid w:val="004918DD"/>
    <w:rsid w:val="00492486"/>
    <w:rsid w:val="00492A6B"/>
    <w:rsid w:val="0049365B"/>
    <w:rsid w:val="00493D3D"/>
    <w:rsid w:val="00494495"/>
    <w:rsid w:val="004952F1"/>
    <w:rsid w:val="00495803"/>
    <w:rsid w:val="00495CB4"/>
    <w:rsid w:val="00495EB0"/>
    <w:rsid w:val="00496197"/>
    <w:rsid w:val="0049692C"/>
    <w:rsid w:val="004970DD"/>
    <w:rsid w:val="0049799A"/>
    <w:rsid w:val="004A02E8"/>
    <w:rsid w:val="004A0FB6"/>
    <w:rsid w:val="004A1CF6"/>
    <w:rsid w:val="004A1D80"/>
    <w:rsid w:val="004A1F1A"/>
    <w:rsid w:val="004A2289"/>
    <w:rsid w:val="004A3C5A"/>
    <w:rsid w:val="004A489E"/>
    <w:rsid w:val="004A4EE0"/>
    <w:rsid w:val="004A78D1"/>
    <w:rsid w:val="004A7F35"/>
    <w:rsid w:val="004B012A"/>
    <w:rsid w:val="004B03D8"/>
    <w:rsid w:val="004B0457"/>
    <w:rsid w:val="004B16FE"/>
    <w:rsid w:val="004B2B7F"/>
    <w:rsid w:val="004B2D44"/>
    <w:rsid w:val="004B2DA0"/>
    <w:rsid w:val="004B2ED6"/>
    <w:rsid w:val="004B39B9"/>
    <w:rsid w:val="004B39E1"/>
    <w:rsid w:val="004B3BF9"/>
    <w:rsid w:val="004B44C4"/>
    <w:rsid w:val="004B4914"/>
    <w:rsid w:val="004B4EA3"/>
    <w:rsid w:val="004B4F9C"/>
    <w:rsid w:val="004B55E6"/>
    <w:rsid w:val="004B5666"/>
    <w:rsid w:val="004B594B"/>
    <w:rsid w:val="004B6182"/>
    <w:rsid w:val="004B61E5"/>
    <w:rsid w:val="004B641B"/>
    <w:rsid w:val="004B6628"/>
    <w:rsid w:val="004B67DA"/>
    <w:rsid w:val="004B6BC3"/>
    <w:rsid w:val="004B6FB5"/>
    <w:rsid w:val="004B73AC"/>
    <w:rsid w:val="004B7B7F"/>
    <w:rsid w:val="004C1361"/>
    <w:rsid w:val="004C26DF"/>
    <w:rsid w:val="004C27A3"/>
    <w:rsid w:val="004C2B79"/>
    <w:rsid w:val="004C2E56"/>
    <w:rsid w:val="004C34FC"/>
    <w:rsid w:val="004C6DFA"/>
    <w:rsid w:val="004C6E9E"/>
    <w:rsid w:val="004D0D80"/>
    <w:rsid w:val="004D162A"/>
    <w:rsid w:val="004D1BB8"/>
    <w:rsid w:val="004D35F4"/>
    <w:rsid w:val="004D3676"/>
    <w:rsid w:val="004D3731"/>
    <w:rsid w:val="004D4305"/>
    <w:rsid w:val="004D4DFB"/>
    <w:rsid w:val="004D56D3"/>
    <w:rsid w:val="004D6CB3"/>
    <w:rsid w:val="004D7A05"/>
    <w:rsid w:val="004D7A63"/>
    <w:rsid w:val="004E114A"/>
    <w:rsid w:val="004E286B"/>
    <w:rsid w:val="004E3706"/>
    <w:rsid w:val="004E5168"/>
    <w:rsid w:val="004E66B2"/>
    <w:rsid w:val="004E6956"/>
    <w:rsid w:val="004F00ED"/>
    <w:rsid w:val="004F16E3"/>
    <w:rsid w:val="004F17B2"/>
    <w:rsid w:val="004F1839"/>
    <w:rsid w:val="004F1F69"/>
    <w:rsid w:val="004F2469"/>
    <w:rsid w:val="004F25C4"/>
    <w:rsid w:val="004F28A3"/>
    <w:rsid w:val="004F2CB7"/>
    <w:rsid w:val="004F4E9F"/>
    <w:rsid w:val="004F530C"/>
    <w:rsid w:val="004F5BF7"/>
    <w:rsid w:val="004F605A"/>
    <w:rsid w:val="004F63F1"/>
    <w:rsid w:val="004F65B6"/>
    <w:rsid w:val="004F721F"/>
    <w:rsid w:val="004F777A"/>
    <w:rsid w:val="004F7F39"/>
    <w:rsid w:val="00500DA6"/>
    <w:rsid w:val="005010F1"/>
    <w:rsid w:val="005012B8"/>
    <w:rsid w:val="00502E4C"/>
    <w:rsid w:val="005033DB"/>
    <w:rsid w:val="00503896"/>
    <w:rsid w:val="00503B90"/>
    <w:rsid w:val="0050506B"/>
    <w:rsid w:val="0050588A"/>
    <w:rsid w:val="0050715D"/>
    <w:rsid w:val="0050766D"/>
    <w:rsid w:val="00507C1E"/>
    <w:rsid w:val="0051056C"/>
    <w:rsid w:val="00510B1A"/>
    <w:rsid w:val="00511E62"/>
    <w:rsid w:val="00512E9B"/>
    <w:rsid w:val="00513761"/>
    <w:rsid w:val="00514170"/>
    <w:rsid w:val="00514220"/>
    <w:rsid w:val="0051464E"/>
    <w:rsid w:val="00514972"/>
    <w:rsid w:val="00514C6A"/>
    <w:rsid w:val="00514F4C"/>
    <w:rsid w:val="00515612"/>
    <w:rsid w:val="005158C5"/>
    <w:rsid w:val="00515A31"/>
    <w:rsid w:val="0051749B"/>
    <w:rsid w:val="0052027D"/>
    <w:rsid w:val="00520414"/>
    <w:rsid w:val="00520CD0"/>
    <w:rsid w:val="00521385"/>
    <w:rsid w:val="00521568"/>
    <w:rsid w:val="00522475"/>
    <w:rsid w:val="00522CA6"/>
    <w:rsid w:val="0052371E"/>
    <w:rsid w:val="00523BF4"/>
    <w:rsid w:val="00526627"/>
    <w:rsid w:val="00526A4A"/>
    <w:rsid w:val="00526B7C"/>
    <w:rsid w:val="005275AA"/>
    <w:rsid w:val="00530115"/>
    <w:rsid w:val="00531391"/>
    <w:rsid w:val="00531720"/>
    <w:rsid w:val="005322EB"/>
    <w:rsid w:val="005329BF"/>
    <w:rsid w:val="00532E16"/>
    <w:rsid w:val="00533668"/>
    <w:rsid w:val="00534391"/>
    <w:rsid w:val="0053492C"/>
    <w:rsid w:val="00534DB4"/>
    <w:rsid w:val="0053513B"/>
    <w:rsid w:val="0053528C"/>
    <w:rsid w:val="00536AE1"/>
    <w:rsid w:val="005409B0"/>
    <w:rsid w:val="00540C01"/>
    <w:rsid w:val="00540ECB"/>
    <w:rsid w:val="00541147"/>
    <w:rsid w:val="005414F0"/>
    <w:rsid w:val="005420C2"/>
    <w:rsid w:val="00542E8F"/>
    <w:rsid w:val="00543016"/>
    <w:rsid w:val="00543103"/>
    <w:rsid w:val="00545CEA"/>
    <w:rsid w:val="00546FE3"/>
    <w:rsid w:val="005472D7"/>
    <w:rsid w:val="00550A82"/>
    <w:rsid w:val="00551A13"/>
    <w:rsid w:val="00552120"/>
    <w:rsid w:val="00552155"/>
    <w:rsid w:val="00552E59"/>
    <w:rsid w:val="00553224"/>
    <w:rsid w:val="00553AE0"/>
    <w:rsid w:val="00553D5A"/>
    <w:rsid w:val="005540AC"/>
    <w:rsid w:val="005542F3"/>
    <w:rsid w:val="00555F63"/>
    <w:rsid w:val="005566A5"/>
    <w:rsid w:val="0055672C"/>
    <w:rsid w:val="005567B2"/>
    <w:rsid w:val="0055722C"/>
    <w:rsid w:val="00560E2B"/>
    <w:rsid w:val="0056142F"/>
    <w:rsid w:val="00561F74"/>
    <w:rsid w:val="00562831"/>
    <w:rsid w:val="00562929"/>
    <w:rsid w:val="00563C17"/>
    <w:rsid w:val="00564333"/>
    <w:rsid w:val="00564FF4"/>
    <w:rsid w:val="0056561D"/>
    <w:rsid w:val="00565802"/>
    <w:rsid w:val="005658FA"/>
    <w:rsid w:val="00566F19"/>
    <w:rsid w:val="0056761F"/>
    <w:rsid w:val="00567B47"/>
    <w:rsid w:val="00567DE6"/>
    <w:rsid w:val="00567E1C"/>
    <w:rsid w:val="00571760"/>
    <w:rsid w:val="00571D10"/>
    <w:rsid w:val="0057220D"/>
    <w:rsid w:val="00572F72"/>
    <w:rsid w:val="005735D9"/>
    <w:rsid w:val="005736A4"/>
    <w:rsid w:val="0057375C"/>
    <w:rsid w:val="00573BBF"/>
    <w:rsid w:val="00574476"/>
    <w:rsid w:val="005752A0"/>
    <w:rsid w:val="005752E7"/>
    <w:rsid w:val="00575AA0"/>
    <w:rsid w:val="005763FD"/>
    <w:rsid w:val="00576846"/>
    <w:rsid w:val="00576956"/>
    <w:rsid w:val="00577790"/>
    <w:rsid w:val="00581800"/>
    <w:rsid w:val="005826C7"/>
    <w:rsid w:val="005835FD"/>
    <w:rsid w:val="00584692"/>
    <w:rsid w:val="005855C4"/>
    <w:rsid w:val="00585656"/>
    <w:rsid w:val="005865FC"/>
    <w:rsid w:val="00586673"/>
    <w:rsid w:val="00587189"/>
    <w:rsid w:val="00587916"/>
    <w:rsid w:val="00587F1C"/>
    <w:rsid w:val="00590A8B"/>
    <w:rsid w:val="00590CCC"/>
    <w:rsid w:val="00590D7D"/>
    <w:rsid w:val="00591B49"/>
    <w:rsid w:val="00592376"/>
    <w:rsid w:val="00592823"/>
    <w:rsid w:val="00592F82"/>
    <w:rsid w:val="00593488"/>
    <w:rsid w:val="00593575"/>
    <w:rsid w:val="005947C8"/>
    <w:rsid w:val="005948E6"/>
    <w:rsid w:val="0059505C"/>
    <w:rsid w:val="005A04AF"/>
    <w:rsid w:val="005A0CE1"/>
    <w:rsid w:val="005A1147"/>
    <w:rsid w:val="005A12FA"/>
    <w:rsid w:val="005A2270"/>
    <w:rsid w:val="005A256E"/>
    <w:rsid w:val="005A2B09"/>
    <w:rsid w:val="005A2B70"/>
    <w:rsid w:val="005A30C8"/>
    <w:rsid w:val="005A3E66"/>
    <w:rsid w:val="005A3F50"/>
    <w:rsid w:val="005A4526"/>
    <w:rsid w:val="005A4650"/>
    <w:rsid w:val="005A46A3"/>
    <w:rsid w:val="005A5A98"/>
    <w:rsid w:val="005A5B8D"/>
    <w:rsid w:val="005A5C34"/>
    <w:rsid w:val="005A5C3D"/>
    <w:rsid w:val="005B08B9"/>
    <w:rsid w:val="005B11A5"/>
    <w:rsid w:val="005B1C72"/>
    <w:rsid w:val="005B2129"/>
    <w:rsid w:val="005B297B"/>
    <w:rsid w:val="005B32CF"/>
    <w:rsid w:val="005B4816"/>
    <w:rsid w:val="005B4A5D"/>
    <w:rsid w:val="005B4D0C"/>
    <w:rsid w:val="005B5275"/>
    <w:rsid w:val="005B52C1"/>
    <w:rsid w:val="005B5490"/>
    <w:rsid w:val="005B6B21"/>
    <w:rsid w:val="005B77C0"/>
    <w:rsid w:val="005B7D95"/>
    <w:rsid w:val="005C0F1E"/>
    <w:rsid w:val="005C13A3"/>
    <w:rsid w:val="005C16B8"/>
    <w:rsid w:val="005C1C5F"/>
    <w:rsid w:val="005C2AC2"/>
    <w:rsid w:val="005C2C8E"/>
    <w:rsid w:val="005C4278"/>
    <w:rsid w:val="005C46CD"/>
    <w:rsid w:val="005C4F75"/>
    <w:rsid w:val="005C55D2"/>
    <w:rsid w:val="005C5D73"/>
    <w:rsid w:val="005C61BA"/>
    <w:rsid w:val="005C7464"/>
    <w:rsid w:val="005C778B"/>
    <w:rsid w:val="005C7ADA"/>
    <w:rsid w:val="005D0CBE"/>
    <w:rsid w:val="005D1637"/>
    <w:rsid w:val="005D2630"/>
    <w:rsid w:val="005D40A5"/>
    <w:rsid w:val="005D43B9"/>
    <w:rsid w:val="005D548E"/>
    <w:rsid w:val="005D54A2"/>
    <w:rsid w:val="005D5C3F"/>
    <w:rsid w:val="005D6F9C"/>
    <w:rsid w:val="005D7050"/>
    <w:rsid w:val="005D7449"/>
    <w:rsid w:val="005D754C"/>
    <w:rsid w:val="005E049E"/>
    <w:rsid w:val="005E074F"/>
    <w:rsid w:val="005E14EC"/>
    <w:rsid w:val="005E1693"/>
    <w:rsid w:val="005E1A5D"/>
    <w:rsid w:val="005E1CB8"/>
    <w:rsid w:val="005E1CC2"/>
    <w:rsid w:val="005E2299"/>
    <w:rsid w:val="005E2766"/>
    <w:rsid w:val="005E28BC"/>
    <w:rsid w:val="005E4015"/>
    <w:rsid w:val="005E4208"/>
    <w:rsid w:val="005E4B22"/>
    <w:rsid w:val="005E5B87"/>
    <w:rsid w:val="005E6A87"/>
    <w:rsid w:val="005E7474"/>
    <w:rsid w:val="005F0730"/>
    <w:rsid w:val="005F09C4"/>
    <w:rsid w:val="005F10CD"/>
    <w:rsid w:val="005F137F"/>
    <w:rsid w:val="005F148F"/>
    <w:rsid w:val="005F14E8"/>
    <w:rsid w:val="005F21BD"/>
    <w:rsid w:val="005F2BEA"/>
    <w:rsid w:val="005F2C83"/>
    <w:rsid w:val="005F2F9F"/>
    <w:rsid w:val="005F30D4"/>
    <w:rsid w:val="005F313F"/>
    <w:rsid w:val="005F3B88"/>
    <w:rsid w:val="005F5582"/>
    <w:rsid w:val="005F5DDD"/>
    <w:rsid w:val="005F609C"/>
    <w:rsid w:val="005F6644"/>
    <w:rsid w:val="005F6FAE"/>
    <w:rsid w:val="005F73EB"/>
    <w:rsid w:val="005F7590"/>
    <w:rsid w:val="005F78A8"/>
    <w:rsid w:val="005F7A5B"/>
    <w:rsid w:val="005F7D2E"/>
    <w:rsid w:val="00600035"/>
    <w:rsid w:val="00600BAD"/>
    <w:rsid w:val="00602EA3"/>
    <w:rsid w:val="006038F4"/>
    <w:rsid w:val="00603CD5"/>
    <w:rsid w:val="00603F09"/>
    <w:rsid w:val="00604765"/>
    <w:rsid w:val="00604961"/>
    <w:rsid w:val="006049BA"/>
    <w:rsid w:val="00604E66"/>
    <w:rsid w:val="006052AC"/>
    <w:rsid w:val="00605934"/>
    <w:rsid w:val="00606660"/>
    <w:rsid w:val="00607E78"/>
    <w:rsid w:val="00610A0D"/>
    <w:rsid w:val="00610D0A"/>
    <w:rsid w:val="006122AB"/>
    <w:rsid w:val="00612D18"/>
    <w:rsid w:val="00613085"/>
    <w:rsid w:val="006130AE"/>
    <w:rsid w:val="00613DD0"/>
    <w:rsid w:val="00615B28"/>
    <w:rsid w:val="00616BB9"/>
    <w:rsid w:val="00616F0D"/>
    <w:rsid w:val="006172BD"/>
    <w:rsid w:val="00617EAD"/>
    <w:rsid w:val="0062120F"/>
    <w:rsid w:val="006219F1"/>
    <w:rsid w:val="00621DFC"/>
    <w:rsid w:val="00622307"/>
    <w:rsid w:val="0062295A"/>
    <w:rsid w:val="006248D5"/>
    <w:rsid w:val="006250E1"/>
    <w:rsid w:val="006261CD"/>
    <w:rsid w:val="00627F2E"/>
    <w:rsid w:val="00630915"/>
    <w:rsid w:val="00630FD6"/>
    <w:rsid w:val="00631284"/>
    <w:rsid w:val="0063133B"/>
    <w:rsid w:val="00631CF9"/>
    <w:rsid w:val="00632FF9"/>
    <w:rsid w:val="006333B8"/>
    <w:rsid w:val="006334AC"/>
    <w:rsid w:val="0063440D"/>
    <w:rsid w:val="00635751"/>
    <w:rsid w:val="00636896"/>
    <w:rsid w:val="00636E49"/>
    <w:rsid w:val="00640798"/>
    <w:rsid w:val="00640D29"/>
    <w:rsid w:val="00640E6E"/>
    <w:rsid w:val="00641061"/>
    <w:rsid w:val="00641724"/>
    <w:rsid w:val="006421EA"/>
    <w:rsid w:val="00642DE1"/>
    <w:rsid w:val="00643FDD"/>
    <w:rsid w:val="0064621D"/>
    <w:rsid w:val="00646430"/>
    <w:rsid w:val="00647729"/>
    <w:rsid w:val="0064776F"/>
    <w:rsid w:val="00647F1F"/>
    <w:rsid w:val="00651F5B"/>
    <w:rsid w:val="00652775"/>
    <w:rsid w:val="00653143"/>
    <w:rsid w:val="00653CC8"/>
    <w:rsid w:val="006542A2"/>
    <w:rsid w:val="00654659"/>
    <w:rsid w:val="00654B8E"/>
    <w:rsid w:val="00654C34"/>
    <w:rsid w:val="00655BF3"/>
    <w:rsid w:val="00655F20"/>
    <w:rsid w:val="0065661B"/>
    <w:rsid w:val="00656C61"/>
    <w:rsid w:val="00657A78"/>
    <w:rsid w:val="00657FDC"/>
    <w:rsid w:val="0066023E"/>
    <w:rsid w:val="00660C21"/>
    <w:rsid w:val="00661070"/>
    <w:rsid w:val="0066538B"/>
    <w:rsid w:val="00665564"/>
    <w:rsid w:val="0066603B"/>
    <w:rsid w:val="0066648C"/>
    <w:rsid w:val="006665E6"/>
    <w:rsid w:val="00666C6F"/>
    <w:rsid w:val="00666C8D"/>
    <w:rsid w:val="00666F33"/>
    <w:rsid w:val="00667163"/>
    <w:rsid w:val="00667D28"/>
    <w:rsid w:val="00667ED9"/>
    <w:rsid w:val="00670A4A"/>
    <w:rsid w:val="00670CFB"/>
    <w:rsid w:val="00671AF1"/>
    <w:rsid w:val="006728C0"/>
    <w:rsid w:val="00673204"/>
    <w:rsid w:val="006749C1"/>
    <w:rsid w:val="00674F41"/>
    <w:rsid w:val="00675117"/>
    <w:rsid w:val="006753EF"/>
    <w:rsid w:val="006755EA"/>
    <w:rsid w:val="00675AFD"/>
    <w:rsid w:val="00676BA0"/>
    <w:rsid w:val="00676F8D"/>
    <w:rsid w:val="0068107C"/>
    <w:rsid w:val="006816B2"/>
    <w:rsid w:val="0068269D"/>
    <w:rsid w:val="0068283D"/>
    <w:rsid w:val="00683B3D"/>
    <w:rsid w:val="006840DD"/>
    <w:rsid w:val="006842B2"/>
    <w:rsid w:val="00684389"/>
    <w:rsid w:val="006857CD"/>
    <w:rsid w:val="0068682F"/>
    <w:rsid w:val="006876B0"/>
    <w:rsid w:val="00690872"/>
    <w:rsid w:val="00691361"/>
    <w:rsid w:val="00693033"/>
    <w:rsid w:val="00693377"/>
    <w:rsid w:val="006937B1"/>
    <w:rsid w:val="00693F8E"/>
    <w:rsid w:val="00694E1A"/>
    <w:rsid w:val="00695119"/>
    <w:rsid w:val="00695FA3"/>
    <w:rsid w:val="006965C7"/>
    <w:rsid w:val="00697425"/>
    <w:rsid w:val="00697777"/>
    <w:rsid w:val="00697846"/>
    <w:rsid w:val="006A02D6"/>
    <w:rsid w:val="006A045F"/>
    <w:rsid w:val="006A336A"/>
    <w:rsid w:val="006A3485"/>
    <w:rsid w:val="006A4AF1"/>
    <w:rsid w:val="006A546A"/>
    <w:rsid w:val="006A6DFF"/>
    <w:rsid w:val="006B1099"/>
    <w:rsid w:val="006B122A"/>
    <w:rsid w:val="006B2236"/>
    <w:rsid w:val="006B2428"/>
    <w:rsid w:val="006B2954"/>
    <w:rsid w:val="006B2AB6"/>
    <w:rsid w:val="006B3120"/>
    <w:rsid w:val="006B3439"/>
    <w:rsid w:val="006B38A9"/>
    <w:rsid w:val="006B3EE2"/>
    <w:rsid w:val="006B4ABE"/>
    <w:rsid w:val="006B4F86"/>
    <w:rsid w:val="006B5B15"/>
    <w:rsid w:val="006B5DAD"/>
    <w:rsid w:val="006B681E"/>
    <w:rsid w:val="006B7EFE"/>
    <w:rsid w:val="006C0A9A"/>
    <w:rsid w:val="006C0BDE"/>
    <w:rsid w:val="006C1A43"/>
    <w:rsid w:val="006C264F"/>
    <w:rsid w:val="006C2A64"/>
    <w:rsid w:val="006C5FE9"/>
    <w:rsid w:val="006C6801"/>
    <w:rsid w:val="006C6A2D"/>
    <w:rsid w:val="006D05E3"/>
    <w:rsid w:val="006D070C"/>
    <w:rsid w:val="006D0F49"/>
    <w:rsid w:val="006D1065"/>
    <w:rsid w:val="006D1523"/>
    <w:rsid w:val="006D2B57"/>
    <w:rsid w:val="006D384A"/>
    <w:rsid w:val="006D3C3D"/>
    <w:rsid w:val="006D5C8C"/>
    <w:rsid w:val="006D6525"/>
    <w:rsid w:val="006D67C8"/>
    <w:rsid w:val="006D69EE"/>
    <w:rsid w:val="006D7069"/>
    <w:rsid w:val="006D7929"/>
    <w:rsid w:val="006E08FC"/>
    <w:rsid w:val="006E0D72"/>
    <w:rsid w:val="006E1C4F"/>
    <w:rsid w:val="006E21FF"/>
    <w:rsid w:val="006E455C"/>
    <w:rsid w:val="006E5076"/>
    <w:rsid w:val="006E5FA2"/>
    <w:rsid w:val="006E63AD"/>
    <w:rsid w:val="006E6626"/>
    <w:rsid w:val="006F040A"/>
    <w:rsid w:val="006F19F3"/>
    <w:rsid w:val="006F1B7C"/>
    <w:rsid w:val="006F3360"/>
    <w:rsid w:val="006F3F6F"/>
    <w:rsid w:val="006F43B1"/>
    <w:rsid w:val="006F5E85"/>
    <w:rsid w:val="006F5F08"/>
    <w:rsid w:val="006F660C"/>
    <w:rsid w:val="006F67A5"/>
    <w:rsid w:val="006F6BFD"/>
    <w:rsid w:val="006F6E92"/>
    <w:rsid w:val="006F7315"/>
    <w:rsid w:val="006F78FF"/>
    <w:rsid w:val="006F7D23"/>
    <w:rsid w:val="00700BA4"/>
    <w:rsid w:val="00700F8A"/>
    <w:rsid w:val="007016A8"/>
    <w:rsid w:val="00701D5F"/>
    <w:rsid w:val="007023A7"/>
    <w:rsid w:val="007031FD"/>
    <w:rsid w:val="00703B39"/>
    <w:rsid w:val="00703CAB"/>
    <w:rsid w:val="007051C0"/>
    <w:rsid w:val="00705238"/>
    <w:rsid w:val="00705648"/>
    <w:rsid w:val="007062DF"/>
    <w:rsid w:val="00706CB6"/>
    <w:rsid w:val="00706EEE"/>
    <w:rsid w:val="00707159"/>
    <w:rsid w:val="00707233"/>
    <w:rsid w:val="00707E08"/>
    <w:rsid w:val="00710128"/>
    <w:rsid w:val="007108E5"/>
    <w:rsid w:val="00711273"/>
    <w:rsid w:val="00711954"/>
    <w:rsid w:val="0071449D"/>
    <w:rsid w:val="00714C92"/>
    <w:rsid w:val="0071549D"/>
    <w:rsid w:val="00715813"/>
    <w:rsid w:val="007162AF"/>
    <w:rsid w:val="0071631F"/>
    <w:rsid w:val="00716F8C"/>
    <w:rsid w:val="00717106"/>
    <w:rsid w:val="0071731F"/>
    <w:rsid w:val="007177DC"/>
    <w:rsid w:val="0071797E"/>
    <w:rsid w:val="00720BA4"/>
    <w:rsid w:val="0072144D"/>
    <w:rsid w:val="0072198D"/>
    <w:rsid w:val="00721BDC"/>
    <w:rsid w:val="00722E51"/>
    <w:rsid w:val="00722F3D"/>
    <w:rsid w:val="007246C9"/>
    <w:rsid w:val="00725FB0"/>
    <w:rsid w:val="007262F6"/>
    <w:rsid w:val="007266E4"/>
    <w:rsid w:val="00726CEC"/>
    <w:rsid w:val="007310B6"/>
    <w:rsid w:val="00733776"/>
    <w:rsid w:val="007366FA"/>
    <w:rsid w:val="007368C1"/>
    <w:rsid w:val="00737548"/>
    <w:rsid w:val="007376D9"/>
    <w:rsid w:val="00740AE3"/>
    <w:rsid w:val="00740D62"/>
    <w:rsid w:val="007414E8"/>
    <w:rsid w:val="0074219B"/>
    <w:rsid w:val="0074440B"/>
    <w:rsid w:val="0074492B"/>
    <w:rsid w:val="007450D8"/>
    <w:rsid w:val="00745A71"/>
    <w:rsid w:val="00745B84"/>
    <w:rsid w:val="007464B5"/>
    <w:rsid w:val="00746AD8"/>
    <w:rsid w:val="00747415"/>
    <w:rsid w:val="00747E16"/>
    <w:rsid w:val="00750484"/>
    <w:rsid w:val="007515AD"/>
    <w:rsid w:val="00752036"/>
    <w:rsid w:val="00752160"/>
    <w:rsid w:val="007521E8"/>
    <w:rsid w:val="00752BCD"/>
    <w:rsid w:val="00753624"/>
    <w:rsid w:val="007539B2"/>
    <w:rsid w:val="00753A89"/>
    <w:rsid w:val="00753C5C"/>
    <w:rsid w:val="007557F0"/>
    <w:rsid w:val="007562F5"/>
    <w:rsid w:val="00756AA0"/>
    <w:rsid w:val="00757CA2"/>
    <w:rsid w:val="00760C69"/>
    <w:rsid w:val="00760CC3"/>
    <w:rsid w:val="007610C2"/>
    <w:rsid w:val="00761409"/>
    <w:rsid w:val="00761576"/>
    <w:rsid w:val="00761812"/>
    <w:rsid w:val="00762003"/>
    <w:rsid w:val="00762CBF"/>
    <w:rsid w:val="00762D27"/>
    <w:rsid w:val="00762F10"/>
    <w:rsid w:val="0076312D"/>
    <w:rsid w:val="007639B0"/>
    <w:rsid w:val="007639E8"/>
    <w:rsid w:val="007648A8"/>
    <w:rsid w:val="00764CA5"/>
    <w:rsid w:val="007650AC"/>
    <w:rsid w:val="00765768"/>
    <w:rsid w:val="007657DF"/>
    <w:rsid w:val="007664F6"/>
    <w:rsid w:val="007671FB"/>
    <w:rsid w:val="007675C9"/>
    <w:rsid w:val="007702C1"/>
    <w:rsid w:val="00770CEC"/>
    <w:rsid w:val="007712C8"/>
    <w:rsid w:val="00771AC1"/>
    <w:rsid w:val="00772B98"/>
    <w:rsid w:val="00772CBE"/>
    <w:rsid w:val="00773FDC"/>
    <w:rsid w:val="007809EA"/>
    <w:rsid w:val="00780AD5"/>
    <w:rsid w:val="00780EBE"/>
    <w:rsid w:val="00781235"/>
    <w:rsid w:val="00781ACB"/>
    <w:rsid w:val="00784F0F"/>
    <w:rsid w:val="00785098"/>
    <w:rsid w:val="007863C7"/>
    <w:rsid w:val="00790C65"/>
    <w:rsid w:val="00790FEF"/>
    <w:rsid w:val="0079100D"/>
    <w:rsid w:val="00792B4A"/>
    <w:rsid w:val="0079339D"/>
    <w:rsid w:val="00794B18"/>
    <w:rsid w:val="00794D6B"/>
    <w:rsid w:val="007960F6"/>
    <w:rsid w:val="007970B9"/>
    <w:rsid w:val="00797F5C"/>
    <w:rsid w:val="007A10A5"/>
    <w:rsid w:val="007A1BD7"/>
    <w:rsid w:val="007A3360"/>
    <w:rsid w:val="007A3426"/>
    <w:rsid w:val="007A3A02"/>
    <w:rsid w:val="007A3F30"/>
    <w:rsid w:val="007A3FE4"/>
    <w:rsid w:val="007A46BA"/>
    <w:rsid w:val="007A470A"/>
    <w:rsid w:val="007A4ECC"/>
    <w:rsid w:val="007A6871"/>
    <w:rsid w:val="007A6A5B"/>
    <w:rsid w:val="007A7074"/>
    <w:rsid w:val="007A7C17"/>
    <w:rsid w:val="007B0281"/>
    <w:rsid w:val="007B0A7C"/>
    <w:rsid w:val="007B15E0"/>
    <w:rsid w:val="007B1AFA"/>
    <w:rsid w:val="007B1CF0"/>
    <w:rsid w:val="007B26D5"/>
    <w:rsid w:val="007B2A42"/>
    <w:rsid w:val="007B3A81"/>
    <w:rsid w:val="007B3E7A"/>
    <w:rsid w:val="007B4171"/>
    <w:rsid w:val="007B4209"/>
    <w:rsid w:val="007B577D"/>
    <w:rsid w:val="007B596C"/>
    <w:rsid w:val="007B6D48"/>
    <w:rsid w:val="007B75B3"/>
    <w:rsid w:val="007B7DF5"/>
    <w:rsid w:val="007B7EC4"/>
    <w:rsid w:val="007C0322"/>
    <w:rsid w:val="007C096D"/>
    <w:rsid w:val="007C2981"/>
    <w:rsid w:val="007C2C4F"/>
    <w:rsid w:val="007C2F30"/>
    <w:rsid w:val="007C3253"/>
    <w:rsid w:val="007C371B"/>
    <w:rsid w:val="007C3BDA"/>
    <w:rsid w:val="007C4287"/>
    <w:rsid w:val="007C477F"/>
    <w:rsid w:val="007D0312"/>
    <w:rsid w:val="007D041A"/>
    <w:rsid w:val="007D04B2"/>
    <w:rsid w:val="007D123E"/>
    <w:rsid w:val="007D12A0"/>
    <w:rsid w:val="007D138B"/>
    <w:rsid w:val="007D193F"/>
    <w:rsid w:val="007D22D4"/>
    <w:rsid w:val="007D25DF"/>
    <w:rsid w:val="007D2E06"/>
    <w:rsid w:val="007D3552"/>
    <w:rsid w:val="007D3A8D"/>
    <w:rsid w:val="007D43B3"/>
    <w:rsid w:val="007D4760"/>
    <w:rsid w:val="007D4F07"/>
    <w:rsid w:val="007D5B7C"/>
    <w:rsid w:val="007D6BA0"/>
    <w:rsid w:val="007D7189"/>
    <w:rsid w:val="007E080B"/>
    <w:rsid w:val="007E0A2D"/>
    <w:rsid w:val="007E1313"/>
    <w:rsid w:val="007E1920"/>
    <w:rsid w:val="007E213E"/>
    <w:rsid w:val="007E34EA"/>
    <w:rsid w:val="007E3B1C"/>
    <w:rsid w:val="007E47BD"/>
    <w:rsid w:val="007E51F3"/>
    <w:rsid w:val="007E561F"/>
    <w:rsid w:val="007E56E4"/>
    <w:rsid w:val="007E5A97"/>
    <w:rsid w:val="007E6254"/>
    <w:rsid w:val="007E7640"/>
    <w:rsid w:val="007F02AF"/>
    <w:rsid w:val="007F09D9"/>
    <w:rsid w:val="007F0DD2"/>
    <w:rsid w:val="007F29CB"/>
    <w:rsid w:val="007F43F9"/>
    <w:rsid w:val="007F47F4"/>
    <w:rsid w:val="007F5019"/>
    <w:rsid w:val="007F5930"/>
    <w:rsid w:val="007F59A6"/>
    <w:rsid w:val="007F6DC4"/>
    <w:rsid w:val="00800652"/>
    <w:rsid w:val="0080180C"/>
    <w:rsid w:val="00801FF2"/>
    <w:rsid w:val="008026B7"/>
    <w:rsid w:val="00803392"/>
    <w:rsid w:val="00803FE8"/>
    <w:rsid w:val="00804959"/>
    <w:rsid w:val="008054B5"/>
    <w:rsid w:val="00805821"/>
    <w:rsid w:val="008064EB"/>
    <w:rsid w:val="00807E6F"/>
    <w:rsid w:val="00810205"/>
    <w:rsid w:val="00810BF8"/>
    <w:rsid w:val="00811764"/>
    <w:rsid w:val="008126AD"/>
    <w:rsid w:val="00812B9E"/>
    <w:rsid w:val="008139BE"/>
    <w:rsid w:val="008144E1"/>
    <w:rsid w:val="008147C6"/>
    <w:rsid w:val="0081766F"/>
    <w:rsid w:val="00820613"/>
    <w:rsid w:val="008215FE"/>
    <w:rsid w:val="008222C2"/>
    <w:rsid w:val="008239E2"/>
    <w:rsid w:val="008246ED"/>
    <w:rsid w:val="0082496D"/>
    <w:rsid w:val="00826B0D"/>
    <w:rsid w:val="0082761E"/>
    <w:rsid w:val="00827BFE"/>
    <w:rsid w:val="00830034"/>
    <w:rsid w:val="008303B2"/>
    <w:rsid w:val="008303B9"/>
    <w:rsid w:val="00831001"/>
    <w:rsid w:val="0083207B"/>
    <w:rsid w:val="008320E2"/>
    <w:rsid w:val="0083230E"/>
    <w:rsid w:val="00832683"/>
    <w:rsid w:val="00833324"/>
    <w:rsid w:val="0083459B"/>
    <w:rsid w:val="00834632"/>
    <w:rsid w:val="00834A54"/>
    <w:rsid w:val="00834B9B"/>
    <w:rsid w:val="00836080"/>
    <w:rsid w:val="008364FC"/>
    <w:rsid w:val="00836B9C"/>
    <w:rsid w:val="00837D9C"/>
    <w:rsid w:val="0084105B"/>
    <w:rsid w:val="00841562"/>
    <w:rsid w:val="00841896"/>
    <w:rsid w:val="00841C4E"/>
    <w:rsid w:val="00842734"/>
    <w:rsid w:val="00842F7D"/>
    <w:rsid w:val="0084347D"/>
    <w:rsid w:val="00843A34"/>
    <w:rsid w:val="00843EFE"/>
    <w:rsid w:val="0084405F"/>
    <w:rsid w:val="008442D7"/>
    <w:rsid w:val="00845F39"/>
    <w:rsid w:val="00846D1C"/>
    <w:rsid w:val="008478BC"/>
    <w:rsid w:val="00847BBF"/>
    <w:rsid w:val="00847C26"/>
    <w:rsid w:val="00850A77"/>
    <w:rsid w:val="00851BB9"/>
    <w:rsid w:val="008522C9"/>
    <w:rsid w:val="008522D5"/>
    <w:rsid w:val="00854AA2"/>
    <w:rsid w:val="00855A3C"/>
    <w:rsid w:val="00857A6D"/>
    <w:rsid w:val="00857DE7"/>
    <w:rsid w:val="00857E3F"/>
    <w:rsid w:val="00860140"/>
    <w:rsid w:val="008602E2"/>
    <w:rsid w:val="00861695"/>
    <w:rsid w:val="00861D27"/>
    <w:rsid w:val="00862541"/>
    <w:rsid w:val="008628A1"/>
    <w:rsid w:val="00863DF7"/>
    <w:rsid w:val="00864338"/>
    <w:rsid w:val="00864D00"/>
    <w:rsid w:val="00864F9F"/>
    <w:rsid w:val="00865022"/>
    <w:rsid w:val="00865C4B"/>
    <w:rsid w:val="00865FC0"/>
    <w:rsid w:val="00867569"/>
    <w:rsid w:val="00867ADC"/>
    <w:rsid w:val="00870184"/>
    <w:rsid w:val="00870762"/>
    <w:rsid w:val="00872138"/>
    <w:rsid w:val="00873680"/>
    <w:rsid w:val="00873743"/>
    <w:rsid w:val="00873E7F"/>
    <w:rsid w:val="0087433C"/>
    <w:rsid w:val="0087550A"/>
    <w:rsid w:val="00875B01"/>
    <w:rsid w:val="00875E27"/>
    <w:rsid w:val="008770B9"/>
    <w:rsid w:val="00877329"/>
    <w:rsid w:val="0087737E"/>
    <w:rsid w:val="008802F8"/>
    <w:rsid w:val="00880AC3"/>
    <w:rsid w:val="00880BD3"/>
    <w:rsid w:val="00882603"/>
    <w:rsid w:val="00882CE5"/>
    <w:rsid w:val="00882D43"/>
    <w:rsid w:val="00882D55"/>
    <w:rsid w:val="00884230"/>
    <w:rsid w:val="00884616"/>
    <w:rsid w:val="00884A7D"/>
    <w:rsid w:val="00884B23"/>
    <w:rsid w:val="008851C8"/>
    <w:rsid w:val="0088546B"/>
    <w:rsid w:val="00885649"/>
    <w:rsid w:val="008868F8"/>
    <w:rsid w:val="00887F72"/>
    <w:rsid w:val="00890809"/>
    <w:rsid w:val="00890E4E"/>
    <w:rsid w:val="00890EE3"/>
    <w:rsid w:val="0089107A"/>
    <w:rsid w:val="00892A63"/>
    <w:rsid w:val="00894A3F"/>
    <w:rsid w:val="008950A1"/>
    <w:rsid w:val="0089574D"/>
    <w:rsid w:val="00895C33"/>
    <w:rsid w:val="00895FBA"/>
    <w:rsid w:val="00896F9F"/>
    <w:rsid w:val="0089763E"/>
    <w:rsid w:val="00897800"/>
    <w:rsid w:val="00897F0A"/>
    <w:rsid w:val="008A1642"/>
    <w:rsid w:val="008A2FB8"/>
    <w:rsid w:val="008A3A8F"/>
    <w:rsid w:val="008A3AE6"/>
    <w:rsid w:val="008A3AEE"/>
    <w:rsid w:val="008A3DF0"/>
    <w:rsid w:val="008A49F3"/>
    <w:rsid w:val="008A730C"/>
    <w:rsid w:val="008B0A13"/>
    <w:rsid w:val="008B1418"/>
    <w:rsid w:val="008B296E"/>
    <w:rsid w:val="008B2A73"/>
    <w:rsid w:val="008B2A93"/>
    <w:rsid w:val="008B40CD"/>
    <w:rsid w:val="008B5656"/>
    <w:rsid w:val="008B58C7"/>
    <w:rsid w:val="008B5A7B"/>
    <w:rsid w:val="008B6135"/>
    <w:rsid w:val="008B6BB0"/>
    <w:rsid w:val="008B6E6C"/>
    <w:rsid w:val="008B733F"/>
    <w:rsid w:val="008B77BC"/>
    <w:rsid w:val="008C0000"/>
    <w:rsid w:val="008C0737"/>
    <w:rsid w:val="008C0D4D"/>
    <w:rsid w:val="008C1005"/>
    <w:rsid w:val="008C1CA6"/>
    <w:rsid w:val="008C2DFC"/>
    <w:rsid w:val="008C301A"/>
    <w:rsid w:val="008C3FB0"/>
    <w:rsid w:val="008C51C1"/>
    <w:rsid w:val="008C524E"/>
    <w:rsid w:val="008C5704"/>
    <w:rsid w:val="008C6BBA"/>
    <w:rsid w:val="008C75FB"/>
    <w:rsid w:val="008C7692"/>
    <w:rsid w:val="008C7CA7"/>
    <w:rsid w:val="008D0509"/>
    <w:rsid w:val="008D26B2"/>
    <w:rsid w:val="008D2F24"/>
    <w:rsid w:val="008D3278"/>
    <w:rsid w:val="008D3F66"/>
    <w:rsid w:val="008D48AE"/>
    <w:rsid w:val="008D4956"/>
    <w:rsid w:val="008D4EDB"/>
    <w:rsid w:val="008D587E"/>
    <w:rsid w:val="008D5893"/>
    <w:rsid w:val="008D6250"/>
    <w:rsid w:val="008E09B7"/>
    <w:rsid w:val="008E283A"/>
    <w:rsid w:val="008E3485"/>
    <w:rsid w:val="008E47FD"/>
    <w:rsid w:val="008E515F"/>
    <w:rsid w:val="008E539F"/>
    <w:rsid w:val="008E57DC"/>
    <w:rsid w:val="008E59CB"/>
    <w:rsid w:val="008E5BCF"/>
    <w:rsid w:val="008E5C03"/>
    <w:rsid w:val="008E6465"/>
    <w:rsid w:val="008F04A0"/>
    <w:rsid w:val="008F1725"/>
    <w:rsid w:val="008F2014"/>
    <w:rsid w:val="008F2DC4"/>
    <w:rsid w:val="008F2F5C"/>
    <w:rsid w:val="008F3413"/>
    <w:rsid w:val="008F3661"/>
    <w:rsid w:val="008F3774"/>
    <w:rsid w:val="008F42FB"/>
    <w:rsid w:val="008F4477"/>
    <w:rsid w:val="008F58B2"/>
    <w:rsid w:val="008F64D6"/>
    <w:rsid w:val="008F6761"/>
    <w:rsid w:val="008F6B66"/>
    <w:rsid w:val="008F7801"/>
    <w:rsid w:val="009016BD"/>
    <w:rsid w:val="00901840"/>
    <w:rsid w:val="00903881"/>
    <w:rsid w:val="00903B10"/>
    <w:rsid w:val="0090405B"/>
    <w:rsid w:val="009043C3"/>
    <w:rsid w:val="00904AF8"/>
    <w:rsid w:val="00905542"/>
    <w:rsid w:val="00905FF9"/>
    <w:rsid w:val="0091071E"/>
    <w:rsid w:val="00910C32"/>
    <w:rsid w:val="0091179E"/>
    <w:rsid w:val="00911BFD"/>
    <w:rsid w:val="00912845"/>
    <w:rsid w:val="00913FD1"/>
    <w:rsid w:val="0091414B"/>
    <w:rsid w:val="00914CAE"/>
    <w:rsid w:val="009151AF"/>
    <w:rsid w:val="0091622F"/>
    <w:rsid w:val="00916460"/>
    <w:rsid w:val="00916AE2"/>
    <w:rsid w:val="00916FE2"/>
    <w:rsid w:val="009210A3"/>
    <w:rsid w:val="009217CD"/>
    <w:rsid w:val="00921F80"/>
    <w:rsid w:val="00922AC9"/>
    <w:rsid w:val="00922B38"/>
    <w:rsid w:val="00922BF7"/>
    <w:rsid w:val="00923459"/>
    <w:rsid w:val="0092393A"/>
    <w:rsid w:val="0092472B"/>
    <w:rsid w:val="00924AB8"/>
    <w:rsid w:val="00924F4A"/>
    <w:rsid w:val="00925C9A"/>
    <w:rsid w:val="0092608D"/>
    <w:rsid w:val="0092623F"/>
    <w:rsid w:val="0092667B"/>
    <w:rsid w:val="009266C1"/>
    <w:rsid w:val="00926CCD"/>
    <w:rsid w:val="009307D3"/>
    <w:rsid w:val="0093119A"/>
    <w:rsid w:val="0093127F"/>
    <w:rsid w:val="0093136E"/>
    <w:rsid w:val="00931D02"/>
    <w:rsid w:val="00932655"/>
    <w:rsid w:val="00932E71"/>
    <w:rsid w:val="00933A2F"/>
    <w:rsid w:val="00933B99"/>
    <w:rsid w:val="00933D75"/>
    <w:rsid w:val="0093418E"/>
    <w:rsid w:val="0093439A"/>
    <w:rsid w:val="00934547"/>
    <w:rsid w:val="00935442"/>
    <w:rsid w:val="00936BB1"/>
    <w:rsid w:val="00936BD8"/>
    <w:rsid w:val="00936FB0"/>
    <w:rsid w:val="00937595"/>
    <w:rsid w:val="00937A28"/>
    <w:rsid w:val="0094069B"/>
    <w:rsid w:val="00940C8F"/>
    <w:rsid w:val="00940F34"/>
    <w:rsid w:val="00941EC8"/>
    <w:rsid w:val="0094205A"/>
    <w:rsid w:val="00942C0D"/>
    <w:rsid w:val="00943078"/>
    <w:rsid w:val="00944652"/>
    <w:rsid w:val="009465A7"/>
    <w:rsid w:val="0094687A"/>
    <w:rsid w:val="00947A16"/>
    <w:rsid w:val="00950DF2"/>
    <w:rsid w:val="009517BA"/>
    <w:rsid w:val="009517D3"/>
    <w:rsid w:val="00951984"/>
    <w:rsid w:val="009546F3"/>
    <w:rsid w:val="00955238"/>
    <w:rsid w:val="00956019"/>
    <w:rsid w:val="00957446"/>
    <w:rsid w:val="00957533"/>
    <w:rsid w:val="00961078"/>
    <w:rsid w:val="009613B5"/>
    <w:rsid w:val="00961916"/>
    <w:rsid w:val="00961A8D"/>
    <w:rsid w:val="00961E37"/>
    <w:rsid w:val="00962CFB"/>
    <w:rsid w:val="00962F35"/>
    <w:rsid w:val="00963371"/>
    <w:rsid w:val="009645B6"/>
    <w:rsid w:val="00964DEF"/>
    <w:rsid w:val="00965F17"/>
    <w:rsid w:val="009666E5"/>
    <w:rsid w:val="00966BCE"/>
    <w:rsid w:val="00966C56"/>
    <w:rsid w:val="00971324"/>
    <w:rsid w:val="00971C95"/>
    <w:rsid w:val="00972042"/>
    <w:rsid w:val="00972B07"/>
    <w:rsid w:val="00974294"/>
    <w:rsid w:val="0097477A"/>
    <w:rsid w:val="009747B0"/>
    <w:rsid w:val="00974B2C"/>
    <w:rsid w:val="009755B4"/>
    <w:rsid w:val="00975B60"/>
    <w:rsid w:val="009762FD"/>
    <w:rsid w:val="00976523"/>
    <w:rsid w:val="00977B61"/>
    <w:rsid w:val="00980725"/>
    <w:rsid w:val="00980B13"/>
    <w:rsid w:val="00981126"/>
    <w:rsid w:val="0098137E"/>
    <w:rsid w:val="009813F0"/>
    <w:rsid w:val="00981505"/>
    <w:rsid w:val="00981590"/>
    <w:rsid w:val="0098191B"/>
    <w:rsid w:val="00982D65"/>
    <w:rsid w:val="00982F2A"/>
    <w:rsid w:val="00983837"/>
    <w:rsid w:val="00983D24"/>
    <w:rsid w:val="009847D0"/>
    <w:rsid w:val="00984B50"/>
    <w:rsid w:val="00985058"/>
    <w:rsid w:val="0098528F"/>
    <w:rsid w:val="009868FB"/>
    <w:rsid w:val="009924D3"/>
    <w:rsid w:val="00992518"/>
    <w:rsid w:val="009939BB"/>
    <w:rsid w:val="0099433E"/>
    <w:rsid w:val="00994C9B"/>
    <w:rsid w:val="00994E5F"/>
    <w:rsid w:val="009953A0"/>
    <w:rsid w:val="00995D0B"/>
    <w:rsid w:val="00995FF9"/>
    <w:rsid w:val="00996675"/>
    <w:rsid w:val="00996F38"/>
    <w:rsid w:val="00997905"/>
    <w:rsid w:val="009A09D0"/>
    <w:rsid w:val="009A23C2"/>
    <w:rsid w:val="009A3071"/>
    <w:rsid w:val="009A32F8"/>
    <w:rsid w:val="009A347E"/>
    <w:rsid w:val="009A362C"/>
    <w:rsid w:val="009A3A28"/>
    <w:rsid w:val="009A5B7A"/>
    <w:rsid w:val="009A5E5B"/>
    <w:rsid w:val="009A75AC"/>
    <w:rsid w:val="009B089F"/>
    <w:rsid w:val="009B08A5"/>
    <w:rsid w:val="009B0BF2"/>
    <w:rsid w:val="009B0E5D"/>
    <w:rsid w:val="009B126D"/>
    <w:rsid w:val="009B19AD"/>
    <w:rsid w:val="009B1FFC"/>
    <w:rsid w:val="009B2C8D"/>
    <w:rsid w:val="009B3118"/>
    <w:rsid w:val="009B329A"/>
    <w:rsid w:val="009B3F35"/>
    <w:rsid w:val="009B478B"/>
    <w:rsid w:val="009B4A7C"/>
    <w:rsid w:val="009B4E6A"/>
    <w:rsid w:val="009B588D"/>
    <w:rsid w:val="009B5A6A"/>
    <w:rsid w:val="009B692A"/>
    <w:rsid w:val="009B6C41"/>
    <w:rsid w:val="009B72CF"/>
    <w:rsid w:val="009B73FB"/>
    <w:rsid w:val="009B76C9"/>
    <w:rsid w:val="009C01B3"/>
    <w:rsid w:val="009C04B2"/>
    <w:rsid w:val="009C0F95"/>
    <w:rsid w:val="009C1E7C"/>
    <w:rsid w:val="009C22D2"/>
    <w:rsid w:val="009C2B53"/>
    <w:rsid w:val="009C2F67"/>
    <w:rsid w:val="009C4E4D"/>
    <w:rsid w:val="009C564D"/>
    <w:rsid w:val="009C5A16"/>
    <w:rsid w:val="009D02F4"/>
    <w:rsid w:val="009D0C11"/>
    <w:rsid w:val="009D0DFF"/>
    <w:rsid w:val="009D178B"/>
    <w:rsid w:val="009D19AA"/>
    <w:rsid w:val="009D1AC0"/>
    <w:rsid w:val="009D1CE1"/>
    <w:rsid w:val="009D3BA4"/>
    <w:rsid w:val="009D3CAF"/>
    <w:rsid w:val="009D41A2"/>
    <w:rsid w:val="009D42E4"/>
    <w:rsid w:val="009D43B8"/>
    <w:rsid w:val="009D4EC2"/>
    <w:rsid w:val="009D5816"/>
    <w:rsid w:val="009D73D1"/>
    <w:rsid w:val="009D73DA"/>
    <w:rsid w:val="009D7D8D"/>
    <w:rsid w:val="009D7F83"/>
    <w:rsid w:val="009E0E13"/>
    <w:rsid w:val="009E123F"/>
    <w:rsid w:val="009E1ACE"/>
    <w:rsid w:val="009E1C61"/>
    <w:rsid w:val="009E2677"/>
    <w:rsid w:val="009E275B"/>
    <w:rsid w:val="009E29C8"/>
    <w:rsid w:val="009E2D64"/>
    <w:rsid w:val="009E2F13"/>
    <w:rsid w:val="009E3186"/>
    <w:rsid w:val="009E462E"/>
    <w:rsid w:val="009E47D4"/>
    <w:rsid w:val="009E629C"/>
    <w:rsid w:val="009E65A5"/>
    <w:rsid w:val="009E6A8C"/>
    <w:rsid w:val="009E744A"/>
    <w:rsid w:val="009F08C9"/>
    <w:rsid w:val="009F1384"/>
    <w:rsid w:val="009F1CA2"/>
    <w:rsid w:val="009F25F3"/>
    <w:rsid w:val="009F304F"/>
    <w:rsid w:val="009F3627"/>
    <w:rsid w:val="009F4AB1"/>
    <w:rsid w:val="009F4DD8"/>
    <w:rsid w:val="009F5D5E"/>
    <w:rsid w:val="009F70BB"/>
    <w:rsid w:val="009F7C29"/>
    <w:rsid w:val="00A001EA"/>
    <w:rsid w:val="00A0034D"/>
    <w:rsid w:val="00A005AE"/>
    <w:rsid w:val="00A0082B"/>
    <w:rsid w:val="00A00FDC"/>
    <w:rsid w:val="00A01B7A"/>
    <w:rsid w:val="00A02BB4"/>
    <w:rsid w:val="00A030E2"/>
    <w:rsid w:val="00A033DA"/>
    <w:rsid w:val="00A038CA"/>
    <w:rsid w:val="00A03E11"/>
    <w:rsid w:val="00A04008"/>
    <w:rsid w:val="00A043D0"/>
    <w:rsid w:val="00A048D9"/>
    <w:rsid w:val="00A04E3D"/>
    <w:rsid w:val="00A05D1F"/>
    <w:rsid w:val="00A05F5C"/>
    <w:rsid w:val="00A06121"/>
    <w:rsid w:val="00A061CC"/>
    <w:rsid w:val="00A07338"/>
    <w:rsid w:val="00A07ECF"/>
    <w:rsid w:val="00A07FF6"/>
    <w:rsid w:val="00A119A9"/>
    <w:rsid w:val="00A11D71"/>
    <w:rsid w:val="00A12D9A"/>
    <w:rsid w:val="00A136A8"/>
    <w:rsid w:val="00A139A1"/>
    <w:rsid w:val="00A151C5"/>
    <w:rsid w:val="00A15933"/>
    <w:rsid w:val="00A1614D"/>
    <w:rsid w:val="00A16460"/>
    <w:rsid w:val="00A1676C"/>
    <w:rsid w:val="00A16CC8"/>
    <w:rsid w:val="00A1799C"/>
    <w:rsid w:val="00A201AF"/>
    <w:rsid w:val="00A20480"/>
    <w:rsid w:val="00A20706"/>
    <w:rsid w:val="00A2098D"/>
    <w:rsid w:val="00A21480"/>
    <w:rsid w:val="00A21714"/>
    <w:rsid w:val="00A21946"/>
    <w:rsid w:val="00A22802"/>
    <w:rsid w:val="00A22969"/>
    <w:rsid w:val="00A23BD9"/>
    <w:rsid w:val="00A248D7"/>
    <w:rsid w:val="00A250D9"/>
    <w:rsid w:val="00A2541E"/>
    <w:rsid w:val="00A25BB7"/>
    <w:rsid w:val="00A26381"/>
    <w:rsid w:val="00A26473"/>
    <w:rsid w:val="00A26886"/>
    <w:rsid w:val="00A2776C"/>
    <w:rsid w:val="00A27BBD"/>
    <w:rsid w:val="00A30037"/>
    <w:rsid w:val="00A30746"/>
    <w:rsid w:val="00A30E0F"/>
    <w:rsid w:val="00A31689"/>
    <w:rsid w:val="00A31859"/>
    <w:rsid w:val="00A31CA0"/>
    <w:rsid w:val="00A31F54"/>
    <w:rsid w:val="00A32934"/>
    <w:rsid w:val="00A33249"/>
    <w:rsid w:val="00A33D33"/>
    <w:rsid w:val="00A34ED2"/>
    <w:rsid w:val="00A34F94"/>
    <w:rsid w:val="00A35486"/>
    <w:rsid w:val="00A356A4"/>
    <w:rsid w:val="00A3608B"/>
    <w:rsid w:val="00A36DF5"/>
    <w:rsid w:val="00A37DAB"/>
    <w:rsid w:val="00A435DA"/>
    <w:rsid w:val="00A44A2E"/>
    <w:rsid w:val="00A44DA7"/>
    <w:rsid w:val="00A46387"/>
    <w:rsid w:val="00A500C9"/>
    <w:rsid w:val="00A50D53"/>
    <w:rsid w:val="00A51AF6"/>
    <w:rsid w:val="00A51E73"/>
    <w:rsid w:val="00A52694"/>
    <w:rsid w:val="00A5289C"/>
    <w:rsid w:val="00A5289D"/>
    <w:rsid w:val="00A52C54"/>
    <w:rsid w:val="00A53E09"/>
    <w:rsid w:val="00A54C76"/>
    <w:rsid w:val="00A554CE"/>
    <w:rsid w:val="00A55E68"/>
    <w:rsid w:val="00A565F2"/>
    <w:rsid w:val="00A56B2E"/>
    <w:rsid w:val="00A573FD"/>
    <w:rsid w:val="00A57B33"/>
    <w:rsid w:val="00A6120E"/>
    <w:rsid w:val="00A61467"/>
    <w:rsid w:val="00A62893"/>
    <w:rsid w:val="00A63553"/>
    <w:rsid w:val="00A63643"/>
    <w:rsid w:val="00A63A98"/>
    <w:rsid w:val="00A643A3"/>
    <w:rsid w:val="00A650D4"/>
    <w:rsid w:val="00A65532"/>
    <w:rsid w:val="00A66F21"/>
    <w:rsid w:val="00A67EFC"/>
    <w:rsid w:val="00A704EC"/>
    <w:rsid w:val="00A704F6"/>
    <w:rsid w:val="00A706DE"/>
    <w:rsid w:val="00A70A89"/>
    <w:rsid w:val="00A72B52"/>
    <w:rsid w:val="00A73830"/>
    <w:rsid w:val="00A74109"/>
    <w:rsid w:val="00A74930"/>
    <w:rsid w:val="00A76599"/>
    <w:rsid w:val="00A77503"/>
    <w:rsid w:val="00A77950"/>
    <w:rsid w:val="00A77F00"/>
    <w:rsid w:val="00A80206"/>
    <w:rsid w:val="00A836EB"/>
    <w:rsid w:val="00A83F45"/>
    <w:rsid w:val="00A84C37"/>
    <w:rsid w:val="00A84DAD"/>
    <w:rsid w:val="00A8646C"/>
    <w:rsid w:val="00A87BF2"/>
    <w:rsid w:val="00A914E8"/>
    <w:rsid w:val="00A9167F"/>
    <w:rsid w:val="00A92532"/>
    <w:rsid w:val="00A951F6"/>
    <w:rsid w:val="00A953F4"/>
    <w:rsid w:val="00A9578D"/>
    <w:rsid w:val="00A957F0"/>
    <w:rsid w:val="00A95C6D"/>
    <w:rsid w:val="00A95D80"/>
    <w:rsid w:val="00A95EED"/>
    <w:rsid w:val="00A96416"/>
    <w:rsid w:val="00A966CB"/>
    <w:rsid w:val="00A96E83"/>
    <w:rsid w:val="00A9792D"/>
    <w:rsid w:val="00A97B9F"/>
    <w:rsid w:val="00AA025D"/>
    <w:rsid w:val="00AA099C"/>
    <w:rsid w:val="00AA1929"/>
    <w:rsid w:val="00AA240A"/>
    <w:rsid w:val="00AA38D3"/>
    <w:rsid w:val="00AA3B27"/>
    <w:rsid w:val="00AA525E"/>
    <w:rsid w:val="00AA5E09"/>
    <w:rsid w:val="00AA64A7"/>
    <w:rsid w:val="00AA6FA0"/>
    <w:rsid w:val="00AA6FFC"/>
    <w:rsid w:val="00AA7019"/>
    <w:rsid w:val="00AA7222"/>
    <w:rsid w:val="00AA7A87"/>
    <w:rsid w:val="00AB002D"/>
    <w:rsid w:val="00AB0292"/>
    <w:rsid w:val="00AB0337"/>
    <w:rsid w:val="00AB0880"/>
    <w:rsid w:val="00AB0D3B"/>
    <w:rsid w:val="00AB1BAC"/>
    <w:rsid w:val="00AB2081"/>
    <w:rsid w:val="00AB234B"/>
    <w:rsid w:val="00AB2424"/>
    <w:rsid w:val="00AB2597"/>
    <w:rsid w:val="00AB2F61"/>
    <w:rsid w:val="00AB3FB7"/>
    <w:rsid w:val="00AB50C9"/>
    <w:rsid w:val="00AB5C0B"/>
    <w:rsid w:val="00AB5E8B"/>
    <w:rsid w:val="00AB5F42"/>
    <w:rsid w:val="00AB630E"/>
    <w:rsid w:val="00AB6FE0"/>
    <w:rsid w:val="00AB76F7"/>
    <w:rsid w:val="00AC0717"/>
    <w:rsid w:val="00AC1FC7"/>
    <w:rsid w:val="00AC2CF6"/>
    <w:rsid w:val="00AC3024"/>
    <w:rsid w:val="00AC3F11"/>
    <w:rsid w:val="00AC4E99"/>
    <w:rsid w:val="00AC506F"/>
    <w:rsid w:val="00AC5674"/>
    <w:rsid w:val="00AC5E9B"/>
    <w:rsid w:val="00AC5FC7"/>
    <w:rsid w:val="00AC69AD"/>
    <w:rsid w:val="00AC7053"/>
    <w:rsid w:val="00AC76AD"/>
    <w:rsid w:val="00AC7984"/>
    <w:rsid w:val="00AD04CF"/>
    <w:rsid w:val="00AD105C"/>
    <w:rsid w:val="00AD13E8"/>
    <w:rsid w:val="00AD164A"/>
    <w:rsid w:val="00AD1F3F"/>
    <w:rsid w:val="00AD3F27"/>
    <w:rsid w:val="00AD413A"/>
    <w:rsid w:val="00AD4B6C"/>
    <w:rsid w:val="00AD5B42"/>
    <w:rsid w:val="00AD7A5A"/>
    <w:rsid w:val="00AE085E"/>
    <w:rsid w:val="00AE2176"/>
    <w:rsid w:val="00AE28D6"/>
    <w:rsid w:val="00AE2A68"/>
    <w:rsid w:val="00AE2C30"/>
    <w:rsid w:val="00AE3E33"/>
    <w:rsid w:val="00AE4DA9"/>
    <w:rsid w:val="00AE537D"/>
    <w:rsid w:val="00AE74BA"/>
    <w:rsid w:val="00AF1CA2"/>
    <w:rsid w:val="00AF329A"/>
    <w:rsid w:val="00AF3D6A"/>
    <w:rsid w:val="00AF43FC"/>
    <w:rsid w:val="00AF4734"/>
    <w:rsid w:val="00AF4A92"/>
    <w:rsid w:val="00AF5095"/>
    <w:rsid w:val="00AF61FF"/>
    <w:rsid w:val="00AF62A0"/>
    <w:rsid w:val="00B008A6"/>
    <w:rsid w:val="00B024DB"/>
    <w:rsid w:val="00B02E6B"/>
    <w:rsid w:val="00B02F0D"/>
    <w:rsid w:val="00B03472"/>
    <w:rsid w:val="00B03572"/>
    <w:rsid w:val="00B04032"/>
    <w:rsid w:val="00B049BD"/>
    <w:rsid w:val="00B04DCD"/>
    <w:rsid w:val="00B05626"/>
    <w:rsid w:val="00B05722"/>
    <w:rsid w:val="00B05BDC"/>
    <w:rsid w:val="00B06007"/>
    <w:rsid w:val="00B06735"/>
    <w:rsid w:val="00B075D5"/>
    <w:rsid w:val="00B07D39"/>
    <w:rsid w:val="00B07D75"/>
    <w:rsid w:val="00B10B31"/>
    <w:rsid w:val="00B111E7"/>
    <w:rsid w:val="00B1164E"/>
    <w:rsid w:val="00B116E5"/>
    <w:rsid w:val="00B12792"/>
    <w:rsid w:val="00B12E9F"/>
    <w:rsid w:val="00B13CEA"/>
    <w:rsid w:val="00B159B6"/>
    <w:rsid w:val="00B15AF7"/>
    <w:rsid w:val="00B167EE"/>
    <w:rsid w:val="00B177DC"/>
    <w:rsid w:val="00B20094"/>
    <w:rsid w:val="00B206A0"/>
    <w:rsid w:val="00B20C5D"/>
    <w:rsid w:val="00B20DB8"/>
    <w:rsid w:val="00B21828"/>
    <w:rsid w:val="00B21A7D"/>
    <w:rsid w:val="00B21BDE"/>
    <w:rsid w:val="00B22A65"/>
    <w:rsid w:val="00B22A81"/>
    <w:rsid w:val="00B23C0E"/>
    <w:rsid w:val="00B2470C"/>
    <w:rsid w:val="00B25874"/>
    <w:rsid w:val="00B259D7"/>
    <w:rsid w:val="00B262E5"/>
    <w:rsid w:val="00B2635F"/>
    <w:rsid w:val="00B27993"/>
    <w:rsid w:val="00B27B24"/>
    <w:rsid w:val="00B30E1D"/>
    <w:rsid w:val="00B30F76"/>
    <w:rsid w:val="00B30FD0"/>
    <w:rsid w:val="00B31942"/>
    <w:rsid w:val="00B32862"/>
    <w:rsid w:val="00B32A59"/>
    <w:rsid w:val="00B33336"/>
    <w:rsid w:val="00B336CC"/>
    <w:rsid w:val="00B343CC"/>
    <w:rsid w:val="00B34776"/>
    <w:rsid w:val="00B34EEE"/>
    <w:rsid w:val="00B34F12"/>
    <w:rsid w:val="00B351F0"/>
    <w:rsid w:val="00B36894"/>
    <w:rsid w:val="00B36CF8"/>
    <w:rsid w:val="00B4160A"/>
    <w:rsid w:val="00B41898"/>
    <w:rsid w:val="00B41A29"/>
    <w:rsid w:val="00B41AD8"/>
    <w:rsid w:val="00B424C6"/>
    <w:rsid w:val="00B43030"/>
    <w:rsid w:val="00B43BF2"/>
    <w:rsid w:val="00B43DD9"/>
    <w:rsid w:val="00B45955"/>
    <w:rsid w:val="00B46C6D"/>
    <w:rsid w:val="00B47433"/>
    <w:rsid w:val="00B47C97"/>
    <w:rsid w:val="00B5025B"/>
    <w:rsid w:val="00B51197"/>
    <w:rsid w:val="00B51DF9"/>
    <w:rsid w:val="00B52D91"/>
    <w:rsid w:val="00B53621"/>
    <w:rsid w:val="00B53ECF"/>
    <w:rsid w:val="00B53FAA"/>
    <w:rsid w:val="00B55909"/>
    <w:rsid w:val="00B56ABD"/>
    <w:rsid w:val="00B5701F"/>
    <w:rsid w:val="00B57484"/>
    <w:rsid w:val="00B57990"/>
    <w:rsid w:val="00B57F6C"/>
    <w:rsid w:val="00B6052E"/>
    <w:rsid w:val="00B60DAA"/>
    <w:rsid w:val="00B61EAE"/>
    <w:rsid w:val="00B62292"/>
    <w:rsid w:val="00B62384"/>
    <w:rsid w:val="00B62493"/>
    <w:rsid w:val="00B628F4"/>
    <w:rsid w:val="00B62CA9"/>
    <w:rsid w:val="00B63A3B"/>
    <w:rsid w:val="00B64359"/>
    <w:rsid w:val="00B6492C"/>
    <w:rsid w:val="00B64F0D"/>
    <w:rsid w:val="00B656E4"/>
    <w:rsid w:val="00B656FB"/>
    <w:rsid w:val="00B66D4F"/>
    <w:rsid w:val="00B67FA4"/>
    <w:rsid w:val="00B71235"/>
    <w:rsid w:val="00B7146C"/>
    <w:rsid w:val="00B71F7C"/>
    <w:rsid w:val="00B72DE5"/>
    <w:rsid w:val="00B738C8"/>
    <w:rsid w:val="00B76223"/>
    <w:rsid w:val="00B77300"/>
    <w:rsid w:val="00B80EA6"/>
    <w:rsid w:val="00B812FD"/>
    <w:rsid w:val="00B817C0"/>
    <w:rsid w:val="00B8220D"/>
    <w:rsid w:val="00B8261E"/>
    <w:rsid w:val="00B82757"/>
    <w:rsid w:val="00B82C75"/>
    <w:rsid w:val="00B82C9C"/>
    <w:rsid w:val="00B82EFD"/>
    <w:rsid w:val="00B833EB"/>
    <w:rsid w:val="00B8369B"/>
    <w:rsid w:val="00B83873"/>
    <w:rsid w:val="00B838B7"/>
    <w:rsid w:val="00B83F08"/>
    <w:rsid w:val="00B840EC"/>
    <w:rsid w:val="00B84CEB"/>
    <w:rsid w:val="00B871EB"/>
    <w:rsid w:val="00B87315"/>
    <w:rsid w:val="00B90582"/>
    <w:rsid w:val="00B905F1"/>
    <w:rsid w:val="00B90AEB"/>
    <w:rsid w:val="00B921B6"/>
    <w:rsid w:val="00B939E1"/>
    <w:rsid w:val="00B93F45"/>
    <w:rsid w:val="00B963AC"/>
    <w:rsid w:val="00B96AB7"/>
    <w:rsid w:val="00B96E83"/>
    <w:rsid w:val="00B9740D"/>
    <w:rsid w:val="00BA14F6"/>
    <w:rsid w:val="00BA2483"/>
    <w:rsid w:val="00BA2DA5"/>
    <w:rsid w:val="00BA31E9"/>
    <w:rsid w:val="00BA353B"/>
    <w:rsid w:val="00BA41C9"/>
    <w:rsid w:val="00BA47F0"/>
    <w:rsid w:val="00BA501C"/>
    <w:rsid w:val="00BA64BC"/>
    <w:rsid w:val="00BA7C1E"/>
    <w:rsid w:val="00BB06AC"/>
    <w:rsid w:val="00BB0C30"/>
    <w:rsid w:val="00BB0CA2"/>
    <w:rsid w:val="00BB30AC"/>
    <w:rsid w:val="00BB30DF"/>
    <w:rsid w:val="00BB3116"/>
    <w:rsid w:val="00BB42AD"/>
    <w:rsid w:val="00BB4DB8"/>
    <w:rsid w:val="00BB541B"/>
    <w:rsid w:val="00BB6B06"/>
    <w:rsid w:val="00BB70C0"/>
    <w:rsid w:val="00BB73C7"/>
    <w:rsid w:val="00BC0384"/>
    <w:rsid w:val="00BC1683"/>
    <w:rsid w:val="00BC2BA0"/>
    <w:rsid w:val="00BC3151"/>
    <w:rsid w:val="00BC3655"/>
    <w:rsid w:val="00BC3985"/>
    <w:rsid w:val="00BC3ACD"/>
    <w:rsid w:val="00BC3DA9"/>
    <w:rsid w:val="00BC3E23"/>
    <w:rsid w:val="00BC7ABF"/>
    <w:rsid w:val="00BD0130"/>
    <w:rsid w:val="00BD0662"/>
    <w:rsid w:val="00BD0F6B"/>
    <w:rsid w:val="00BD1F3E"/>
    <w:rsid w:val="00BD2CBB"/>
    <w:rsid w:val="00BD49A1"/>
    <w:rsid w:val="00BD4F7E"/>
    <w:rsid w:val="00BD68BD"/>
    <w:rsid w:val="00BD6A84"/>
    <w:rsid w:val="00BD7087"/>
    <w:rsid w:val="00BE0F0C"/>
    <w:rsid w:val="00BE1398"/>
    <w:rsid w:val="00BE2072"/>
    <w:rsid w:val="00BE3221"/>
    <w:rsid w:val="00BE322F"/>
    <w:rsid w:val="00BE460B"/>
    <w:rsid w:val="00BE4F5A"/>
    <w:rsid w:val="00BE5569"/>
    <w:rsid w:val="00BE70F5"/>
    <w:rsid w:val="00BE76B1"/>
    <w:rsid w:val="00BE7C78"/>
    <w:rsid w:val="00BE7D5C"/>
    <w:rsid w:val="00BF0B29"/>
    <w:rsid w:val="00BF133E"/>
    <w:rsid w:val="00BF1AAE"/>
    <w:rsid w:val="00BF1FF4"/>
    <w:rsid w:val="00BF26FB"/>
    <w:rsid w:val="00BF2CF9"/>
    <w:rsid w:val="00BF2F6B"/>
    <w:rsid w:val="00BF3750"/>
    <w:rsid w:val="00BF54F3"/>
    <w:rsid w:val="00BF56C8"/>
    <w:rsid w:val="00BF58BD"/>
    <w:rsid w:val="00BF5982"/>
    <w:rsid w:val="00BF5C44"/>
    <w:rsid w:val="00BF694B"/>
    <w:rsid w:val="00BF6D0D"/>
    <w:rsid w:val="00C0037F"/>
    <w:rsid w:val="00C005F0"/>
    <w:rsid w:val="00C014E6"/>
    <w:rsid w:val="00C01DC4"/>
    <w:rsid w:val="00C02495"/>
    <w:rsid w:val="00C02DD1"/>
    <w:rsid w:val="00C04088"/>
    <w:rsid w:val="00C05316"/>
    <w:rsid w:val="00C103A9"/>
    <w:rsid w:val="00C10E66"/>
    <w:rsid w:val="00C1105A"/>
    <w:rsid w:val="00C1129A"/>
    <w:rsid w:val="00C11587"/>
    <w:rsid w:val="00C11CF4"/>
    <w:rsid w:val="00C121DB"/>
    <w:rsid w:val="00C13484"/>
    <w:rsid w:val="00C138CD"/>
    <w:rsid w:val="00C13AE3"/>
    <w:rsid w:val="00C13B41"/>
    <w:rsid w:val="00C13E16"/>
    <w:rsid w:val="00C14DEF"/>
    <w:rsid w:val="00C1558C"/>
    <w:rsid w:val="00C1650C"/>
    <w:rsid w:val="00C2056E"/>
    <w:rsid w:val="00C21386"/>
    <w:rsid w:val="00C21724"/>
    <w:rsid w:val="00C217C1"/>
    <w:rsid w:val="00C22A08"/>
    <w:rsid w:val="00C23BAF"/>
    <w:rsid w:val="00C23C64"/>
    <w:rsid w:val="00C24334"/>
    <w:rsid w:val="00C26ADF"/>
    <w:rsid w:val="00C26BBD"/>
    <w:rsid w:val="00C27DA2"/>
    <w:rsid w:val="00C27FC3"/>
    <w:rsid w:val="00C30475"/>
    <w:rsid w:val="00C30D88"/>
    <w:rsid w:val="00C31974"/>
    <w:rsid w:val="00C32219"/>
    <w:rsid w:val="00C326EE"/>
    <w:rsid w:val="00C32A75"/>
    <w:rsid w:val="00C3445C"/>
    <w:rsid w:val="00C3449B"/>
    <w:rsid w:val="00C35515"/>
    <w:rsid w:val="00C35793"/>
    <w:rsid w:val="00C35855"/>
    <w:rsid w:val="00C36C09"/>
    <w:rsid w:val="00C37261"/>
    <w:rsid w:val="00C37679"/>
    <w:rsid w:val="00C37B72"/>
    <w:rsid w:val="00C37FF4"/>
    <w:rsid w:val="00C37FFE"/>
    <w:rsid w:val="00C42558"/>
    <w:rsid w:val="00C43159"/>
    <w:rsid w:val="00C431D0"/>
    <w:rsid w:val="00C433EA"/>
    <w:rsid w:val="00C43855"/>
    <w:rsid w:val="00C43BD5"/>
    <w:rsid w:val="00C447D3"/>
    <w:rsid w:val="00C44D70"/>
    <w:rsid w:val="00C45FA4"/>
    <w:rsid w:val="00C47B17"/>
    <w:rsid w:val="00C47D70"/>
    <w:rsid w:val="00C50790"/>
    <w:rsid w:val="00C51BD4"/>
    <w:rsid w:val="00C51E08"/>
    <w:rsid w:val="00C526A2"/>
    <w:rsid w:val="00C52991"/>
    <w:rsid w:val="00C53ADD"/>
    <w:rsid w:val="00C55033"/>
    <w:rsid w:val="00C55B3B"/>
    <w:rsid w:val="00C55C7D"/>
    <w:rsid w:val="00C570FD"/>
    <w:rsid w:val="00C5742A"/>
    <w:rsid w:val="00C579F9"/>
    <w:rsid w:val="00C57D20"/>
    <w:rsid w:val="00C57D3F"/>
    <w:rsid w:val="00C605E7"/>
    <w:rsid w:val="00C62DCE"/>
    <w:rsid w:val="00C6316E"/>
    <w:rsid w:val="00C63191"/>
    <w:rsid w:val="00C637E0"/>
    <w:rsid w:val="00C63CDC"/>
    <w:rsid w:val="00C63CDE"/>
    <w:rsid w:val="00C64623"/>
    <w:rsid w:val="00C65B51"/>
    <w:rsid w:val="00C65B9A"/>
    <w:rsid w:val="00C6627A"/>
    <w:rsid w:val="00C66308"/>
    <w:rsid w:val="00C679A5"/>
    <w:rsid w:val="00C67DCF"/>
    <w:rsid w:val="00C67F14"/>
    <w:rsid w:val="00C7067A"/>
    <w:rsid w:val="00C70728"/>
    <w:rsid w:val="00C71653"/>
    <w:rsid w:val="00C723CE"/>
    <w:rsid w:val="00C72E51"/>
    <w:rsid w:val="00C742E0"/>
    <w:rsid w:val="00C74EAD"/>
    <w:rsid w:val="00C75C05"/>
    <w:rsid w:val="00C7685C"/>
    <w:rsid w:val="00C76D20"/>
    <w:rsid w:val="00C774B1"/>
    <w:rsid w:val="00C776B9"/>
    <w:rsid w:val="00C7775D"/>
    <w:rsid w:val="00C77E74"/>
    <w:rsid w:val="00C803AC"/>
    <w:rsid w:val="00C8170C"/>
    <w:rsid w:val="00C81768"/>
    <w:rsid w:val="00C81822"/>
    <w:rsid w:val="00C825B2"/>
    <w:rsid w:val="00C83665"/>
    <w:rsid w:val="00C83BC5"/>
    <w:rsid w:val="00C84341"/>
    <w:rsid w:val="00C85AA9"/>
    <w:rsid w:val="00C85B8F"/>
    <w:rsid w:val="00C869E5"/>
    <w:rsid w:val="00C87783"/>
    <w:rsid w:val="00C87F39"/>
    <w:rsid w:val="00C9124E"/>
    <w:rsid w:val="00C91D4F"/>
    <w:rsid w:val="00C91F9B"/>
    <w:rsid w:val="00C92D25"/>
    <w:rsid w:val="00C93011"/>
    <w:rsid w:val="00C93629"/>
    <w:rsid w:val="00C9421A"/>
    <w:rsid w:val="00C94808"/>
    <w:rsid w:val="00C953C9"/>
    <w:rsid w:val="00C953F0"/>
    <w:rsid w:val="00C95B98"/>
    <w:rsid w:val="00C95C2A"/>
    <w:rsid w:val="00C9603B"/>
    <w:rsid w:val="00C965DB"/>
    <w:rsid w:val="00C9681D"/>
    <w:rsid w:val="00C97A83"/>
    <w:rsid w:val="00C97CFA"/>
    <w:rsid w:val="00C97F5E"/>
    <w:rsid w:val="00CA051D"/>
    <w:rsid w:val="00CA0AEF"/>
    <w:rsid w:val="00CA0D64"/>
    <w:rsid w:val="00CA0FB9"/>
    <w:rsid w:val="00CA1998"/>
    <w:rsid w:val="00CA2F23"/>
    <w:rsid w:val="00CA3C03"/>
    <w:rsid w:val="00CA4767"/>
    <w:rsid w:val="00CA4C76"/>
    <w:rsid w:val="00CA5E1C"/>
    <w:rsid w:val="00CA7336"/>
    <w:rsid w:val="00CB0A9D"/>
    <w:rsid w:val="00CB2091"/>
    <w:rsid w:val="00CB25D2"/>
    <w:rsid w:val="00CB36FD"/>
    <w:rsid w:val="00CB4590"/>
    <w:rsid w:val="00CB4BCF"/>
    <w:rsid w:val="00CB561B"/>
    <w:rsid w:val="00CB670E"/>
    <w:rsid w:val="00CB6A1C"/>
    <w:rsid w:val="00CB6FD2"/>
    <w:rsid w:val="00CB7C44"/>
    <w:rsid w:val="00CC0282"/>
    <w:rsid w:val="00CC1641"/>
    <w:rsid w:val="00CC2973"/>
    <w:rsid w:val="00CC2FEC"/>
    <w:rsid w:val="00CC3D48"/>
    <w:rsid w:val="00CC3FC8"/>
    <w:rsid w:val="00CC49DC"/>
    <w:rsid w:val="00CC5493"/>
    <w:rsid w:val="00CC6285"/>
    <w:rsid w:val="00CC66D1"/>
    <w:rsid w:val="00CC75CF"/>
    <w:rsid w:val="00CC7F89"/>
    <w:rsid w:val="00CD0353"/>
    <w:rsid w:val="00CD11D5"/>
    <w:rsid w:val="00CD139F"/>
    <w:rsid w:val="00CD164B"/>
    <w:rsid w:val="00CD178B"/>
    <w:rsid w:val="00CD281B"/>
    <w:rsid w:val="00CD2D37"/>
    <w:rsid w:val="00CD3B52"/>
    <w:rsid w:val="00CD4249"/>
    <w:rsid w:val="00CD4720"/>
    <w:rsid w:val="00CD489B"/>
    <w:rsid w:val="00CD4A0C"/>
    <w:rsid w:val="00CD6F9A"/>
    <w:rsid w:val="00CD716C"/>
    <w:rsid w:val="00CD7AB1"/>
    <w:rsid w:val="00CE08E2"/>
    <w:rsid w:val="00CE133B"/>
    <w:rsid w:val="00CE1E5E"/>
    <w:rsid w:val="00CE3096"/>
    <w:rsid w:val="00CE4922"/>
    <w:rsid w:val="00CE780F"/>
    <w:rsid w:val="00CE7E91"/>
    <w:rsid w:val="00CF01E6"/>
    <w:rsid w:val="00CF2136"/>
    <w:rsid w:val="00CF2750"/>
    <w:rsid w:val="00CF277A"/>
    <w:rsid w:val="00CF2CE1"/>
    <w:rsid w:val="00CF2CEF"/>
    <w:rsid w:val="00CF2F8E"/>
    <w:rsid w:val="00CF3399"/>
    <w:rsid w:val="00CF34EF"/>
    <w:rsid w:val="00CF4059"/>
    <w:rsid w:val="00CF4084"/>
    <w:rsid w:val="00CF4178"/>
    <w:rsid w:val="00CF521F"/>
    <w:rsid w:val="00CF5492"/>
    <w:rsid w:val="00CF7AB8"/>
    <w:rsid w:val="00D00106"/>
    <w:rsid w:val="00D0091E"/>
    <w:rsid w:val="00D00ED4"/>
    <w:rsid w:val="00D01A1D"/>
    <w:rsid w:val="00D02FB0"/>
    <w:rsid w:val="00D02FDF"/>
    <w:rsid w:val="00D038FE"/>
    <w:rsid w:val="00D03999"/>
    <w:rsid w:val="00D03C82"/>
    <w:rsid w:val="00D0612D"/>
    <w:rsid w:val="00D06AAA"/>
    <w:rsid w:val="00D074A6"/>
    <w:rsid w:val="00D07AE3"/>
    <w:rsid w:val="00D10ECA"/>
    <w:rsid w:val="00D119CE"/>
    <w:rsid w:val="00D11F08"/>
    <w:rsid w:val="00D12CCC"/>
    <w:rsid w:val="00D130EC"/>
    <w:rsid w:val="00D1394F"/>
    <w:rsid w:val="00D13D06"/>
    <w:rsid w:val="00D14CB6"/>
    <w:rsid w:val="00D15B10"/>
    <w:rsid w:val="00D15BFF"/>
    <w:rsid w:val="00D16046"/>
    <w:rsid w:val="00D161CA"/>
    <w:rsid w:val="00D16A8F"/>
    <w:rsid w:val="00D16D35"/>
    <w:rsid w:val="00D17FAB"/>
    <w:rsid w:val="00D200F6"/>
    <w:rsid w:val="00D21D05"/>
    <w:rsid w:val="00D227C6"/>
    <w:rsid w:val="00D2360B"/>
    <w:rsid w:val="00D24486"/>
    <w:rsid w:val="00D24D0B"/>
    <w:rsid w:val="00D24E1F"/>
    <w:rsid w:val="00D26B1A"/>
    <w:rsid w:val="00D302B4"/>
    <w:rsid w:val="00D3318E"/>
    <w:rsid w:val="00D333EB"/>
    <w:rsid w:val="00D33603"/>
    <w:rsid w:val="00D34749"/>
    <w:rsid w:val="00D35916"/>
    <w:rsid w:val="00D35EDA"/>
    <w:rsid w:val="00D36CEB"/>
    <w:rsid w:val="00D41632"/>
    <w:rsid w:val="00D419AC"/>
    <w:rsid w:val="00D42F22"/>
    <w:rsid w:val="00D4300C"/>
    <w:rsid w:val="00D43C38"/>
    <w:rsid w:val="00D44C3A"/>
    <w:rsid w:val="00D4538C"/>
    <w:rsid w:val="00D455C0"/>
    <w:rsid w:val="00D46AD7"/>
    <w:rsid w:val="00D46AEA"/>
    <w:rsid w:val="00D46D87"/>
    <w:rsid w:val="00D47456"/>
    <w:rsid w:val="00D47699"/>
    <w:rsid w:val="00D51EFC"/>
    <w:rsid w:val="00D52616"/>
    <w:rsid w:val="00D52945"/>
    <w:rsid w:val="00D52B76"/>
    <w:rsid w:val="00D52F74"/>
    <w:rsid w:val="00D5370B"/>
    <w:rsid w:val="00D53DDB"/>
    <w:rsid w:val="00D54176"/>
    <w:rsid w:val="00D546E5"/>
    <w:rsid w:val="00D54FCC"/>
    <w:rsid w:val="00D561E3"/>
    <w:rsid w:val="00D56313"/>
    <w:rsid w:val="00D5778F"/>
    <w:rsid w:val="00D6023E"/>
    <w:rsid w:val="00D61769"/>
    <w:rsid w:val="00D64575"/>
    <w:rsid w:val="00D64FCE"/>
    <w:rsid w:val="00D654A1"/>
    <w:rsid w:val="00D671D9"/>
    <w:rsid w:val="00D676E8"/>
    <w:rsid w:val="00D703F9"/>
    <w:rsid w:val="00D716BF"/>
    <w:rsid w:val="00D716CE"/>
    <w:rsid w:val="00D717D7"/>
    <w:rsid w:val="00D71BDB"/>
    <w:rsid w:val="00D71F40"/>
    <w:rsid w:val="00D720BD"/>
    <w:rsid w:val="00D73BC6"/>
    <w:rsid w:val="00D73C17"/>
    <w:rsid w:val="00D74790"/>
    <w:rsid w:val="00D751B2"/>
    <w:rsid w:val="00D76924"/>
    <w:rsid w:val="00D76AEE"/>
    <w:rsid w:val="00D8007F"/>
    <w:rsid w:val="00D803F1"/>
    <w:rsid w:val="00D825B2"/>
    <w:rsid w:val="00D83992"/>
    <w:rsid w:val="00D83A9F"/>
    <w:rsid w:val="00D84BAC"/>
    <w:rsid w:val="00D84EAA"/>
    <w:rsid w:val="00D85A52"/>
    <w:rsid w:val="00D86340"/>
    <w:rsid w:val="00D8679F"/>
    <w:rsid w:val="00D86CF6"/>
    <w:rsid w:val="00D87D25"/>
    <w:rsid w:val="00D91731"/>
    <w:rsid w:val="00D9189F"/>
    <w:rsid w:val="00D92409"/>
    <w:rsid w:val="00D942EF"/>
    <w:rsid w:val="00D94A17"/>
    <w:rsid w:val="00D95AF3"/>
    <w:rsid w:val="00D96600"/>
    <w:rsid w:val="00D967C9"/>
    <w:rsid w:val="00D96DF1"/>
    <w:rsid w:val="00DA03D0"/>
    <w:rsid w:val="00DA1A2A"/>
    <w:rsid w:val="00DA20F0"/>
    <w:rsid w:val="00DA240A"/>
    <w:rsid w:val="00DA307A"/>
    <w:rsid w:val="00DA3E8C"/>
    <w:rsid w:val="00DA4B12"/>
    <w:rsid w:val="00DA5664"/>
    <w:rsid w:val="00DA57FD"/>
    <w:rsid w:val="00DA5C46"/>
    <w:rsid w:val="00DA61B0"/>
    <w:rsid w:val="00DA61B5"/>
    <w:rsid w:val="00DA6B08"/>
    <w:rsid w:val="00DA6EB4"/>
    <w:rsid w:val="00DA70FE"/>
    <w:rsid w:val="00DA73CF"/>
    <w:rsid w:val="00DB022B"/>
    <w:rsid w:val="00DB03BC"/>
    <w:rsid w:val="00DB0654"/>
    <w:rsid w:val="00DB0A59"/>
    <w:rsid w:val="00DB0BCB"/>
    <w:rsid w:val="00DB1B38"/>
    <w:rsid w:val="00DB1DEF"/>
    <w:rsid w:val="00DB22D1"/>
    <w:rsid w:val="00DB5E77"/>
    <w:rsid w:val="00DB7865"/>
    <w:rsid w:val="00DB7E11"/>
    <w:rsid w:val="00DC0D35"/>
    <w:rsid w:val="00DC1248"/>
    <w:rsid w:val="00DC139A"/>
    <w:rsid w:val="00DC1B6F"/>
    <w:rsid w:val="00DC330E"/>
    <w:rsid w:val="00DC3AF5"/>
    <w:rsid w:val="00DC3D26"/>
    <w:rsid w:val="00DC3D4E"/>
    <w:rsid w:val="00DC3F63"/>
    <w:rsid w:val="00DC73D5"/>
    <w:rsid w:val="00DD17D2"/>
    <w:rsid w:val="00DD2B6F"/>
    <w:rsid w:val="00DD40DC"/>
    <w:rsid w:val="00DD6561"/>
    <w:rsid w:val="00DD6766"/>
    <w:rsid w:val="00DD6BB3"/>
    <w:rsid w:val="00DD6E12"/>
    <w:rsid w:val="00DD767E"/>
    <w:rsid w:val="00DD776C"/>
    <w:rsid w:val="00DD7AD0"/>
    <w:rsid w:val="00DD7D9A"/>
    <w:rsid w:val="00DE0551"/>
    <w:rsid w:val="00DE27CA"/>
    <w:rsid w:val="00DE2D44"/>
    <w:rsid w:val="00DE2DC4"/>
    <w:rsid w:val="00DE65E5"/>
    <w:rsid w:val="00DE68BC"/>
    <w:rsid w:val="00DE6ADA"/>
    <w:rsid w:val="00DE6DFE"/>
    <w:rsid w:val="00DE79BF"/>
    <w:rsid w:val="00DF0162"/>
    <w:rsid w:val="00DF03E2"/>
    <w:rsid w:val="00DF0712"/>
    <w:rsid w:val="00DF0A5C"/>
    <w:rsid w:val="00DF0FF3"/>
    <w:rsid w:val="00DF1F0B"/>
    <w:rsid w:val="00DF1F73"/>
    <w:rsid w:val="00DF2A93"/>
    <w:rsid w:val="00DF3145"/>
    <w:rsid w:val="00DF48AA"/>
    <w:rsid w:val="00DF4BC2"/>
    <w:rsid w:val="00DF5A52"/>
    <w:rsid w:val="00DF773B"/>
    <w:rsid w:val="00DF7FEC"/>
    <w:rsid w:val="00E0090E"/>
    <w:rsid w:val="00E00CC6"/>
    <w:rsid w:val="00E00F96"/>
    <w:rsid w:val="00E00FCF"/>
    <w:rsid w:val="00E015CE"/>
    <w:rsid w:val="00E03282"/>
    <w:rsid w:val="00E041CB"/>
    <w:rsid w:val="00E04D34"/>
    <w:rsid w:val="00E05BCA"/>
    <w:rsid w:val="00E061C0"/>
    <w:rsid w:val="00E1073C"/>
    <w:rsid w:val="00E10C2A"/>
    <w:rsid w:val="00E10D0C"/>
    <w:rsid w:val="00E10D1F"/>
    <w:rsid w:val="00E11BEC"/>
    <w:rsid w:val="00E12060"/>
    <w:rsid w:val="00E15996"/>
    <w:rsid w:val="00E15B88"/>
    <w:rsid w:val="00E163EE"/>
    <w:rsid w:val="00E17368"/>
    <w:rsid w:val="00E174F0"/>
    <w:rsid w:val="00E17D2C"/>
    <w:rsid w:val="00E20E3E"/>
    <w:rsid w:val="00E214A0"/>
    <w:rsid w:val="00E2526B"/>
    <w:rsid w:val="00E25E96"/>
    <w:rsid w:val="00E3013D"/>
    <w:rsid w:val="00E30571"/>
    <w:rsid w:val="00E30C59"/>
    <w:rsid w:val="00E31049"/>
    <w:rsid w:val="00E31583"/>
    <w:rsid w:val="00E32176"/>
    <w:rsid w:val="00E3227C"/>
    <w:rsid w:val="00E32DD4"/>
    <w:rsid w:val="00E32E4F"/>
    <w:rsid w:val="00E32F25"/>
    <w:rsid w:val="00E344F4"/>
    <w:rsid w:val="00E34510"/>
    <w:rsid w:val="00E34EC2"/>
    <w:rsid w:val="00E37A17"/>
    <w:rsid w:val="00E40F45"/>
    <w:rsid w:val="00E4116A"/>
    <w:rsid w:val="00E42FFE"/>
    <w:rsid w:val="00E4442D"/>
    <w:rsid w:val="00E44895"/>
    <w:rsid w:val="00E450D2"/>
    <w:rsid w:val="00E45490"/>
    <w:rsid w:val="00E457ED"/>
    <w:rsid w:val="00E46ED6"/>
    <w:rsid w:val="00E47781"/>
    <w:rsid w:val="00E5093B"/>
    <w:rsid w:val="00E51122"/>
    <w:rsid w:val="00E5290B"/>
    <w:rsid w:val="00E53A2F"/>
    <w:rsid w:val="00E54155"/>
    <w:rsid w:val="00E54D51"/>
    <w:rsid w:val="00E55C25"/>
    <w:rsid w:val="00E56718"/>
    <w:rsid w:val="00E56774"/>
    <w:rsid w:val="00E56B56"/>
    <w:rsid w:val="00E60821"/>
    <w:rsid w:val="00E60A11"/>
    <w:rsid w:val="00E61B2E"/>
    <w:rsid w:val="00E61B4E"/>
    <w:rsid w:val="00E62051"/>
    <w:rsid w:val="00E621A6"/>
    <w:rsid w:val="00E63393"/>
    <w:rsid w:val="00E63B0A"/>
    <w:rsid w:val="00E63D4D"/>
    <w:rsid w:val="00E63E8B"/>
    <w:rsid w:val="00E642A7"/>
    <w:rsid w:val="00E64527"/>
    <w:rsid w:val="00E6505B"/>
    <w:rsid w:val="00E6548A"/>
    <w:rsid w:val="00E715BE"/>
    <w:rsid w:val="00E71B64"/>
    <w:rsid w:val="00E72A7F"/>
    <w:rsid w:val="00E72E84"/>
    <w:rsid w:val="00E72F1B"/>
    <w:rsid w:val="00E72F51"/>
    <w:rsid w:val="00E738EB"/>
    <w:rsid w:val="00E73DB6"/>
    <w:rsid w:val="00E74AA1"/>
    <w:rsid w:val="00E75477"/>
    <w:rsid w:val="00E7600C"/>
    <w:rsid w:val="00E76593"/>
    <w:rsid w:val="00E76731"/>
    <w:rsid w:val="00E76BAF"/>
    <w:rsid w:val="00E77EF3"/>
    <w:rsid w:val="00E81628"/>
    <w:rsid w:val="00E83496"/>
    <w:rsid w:val="00E83820"/>
    <w:rsid w:val="00E83ADA"/>
    <w:rsid w:val="00E83FEB"/>
    <w:rsid w:val="00E8564E"/>
    <w:rsid w:val="00E85830"/>
    <w:rsid w:val="00E863EB"/>
    <w:rsid w:val="00E86C72"/>
    <w:rsid w:val="00E8709D"/>
    <w:rsid w:val="00E90D80"/>
    <w:rsid w:val="00E917DE"/>
    <w:rsid w:val="00E91984"/>
    <w:rsid w:val="00E92334"/>
    <w:rsid w:val="00E94D23"/>
    <w:rsid w:val="00E94FCA"/>
    <w:rsid w:val="00E9547D"/>
    <w:rsid w:val="00E9556F"/>
    <w:rsid w:val="00E959D5"/>
    <w:rsid w:val="00E95A4F"/>
    <w:rsid w:val="00E95B7F"/>
    <w:rsid w:val="00E96369"/>
    <w:rsid w:val="00E96674"/>
    <w:rsid w:val="00E966D7"/>
    <w:rsid w:val="00E97564"/>
    <w:rsid w:val="00E9758D"/>
    <w:rsid w:val="00E975C6"/>
    <w:rsid w:val="00E97C8E"/>
    <w:rsid w:val="00E97FF6"/>
    <w:rsid w:val="00EA100C"/>
    <w:rsid w:val="00EA112B"/>
    <w:rsid w:val="00EA1420"/>
    <w:rsid w:val="00EA21A0"/>
    <w:rsid w:val="00EA24E0"/>
    <w:rsid w:val="00EA2D88"/>
    <w:rsid w:val="00EA44A7"/>
    <w:rsid w:val="00EA56DF"/>
    <w:rsid w:val="00EA57EA"/>
    <w:rsid w:val="00EA5D56"/>
    <w:rsid w:val="00EA5D87"/>
    <w:rsid w:val="00EA5F49"/>
    <w:rsid w:val="00EA6551"/>
    <w:rsid w:val="00EB032D"/>
    <w:rsid w:val="00EB071A"/>
    <w:rsid w:val="00EB1258"/>
    <w:rsid w:val="00EB18B6"/>
    <w:rsid w:val="00EB1B13"/>
    <w:rsid w:val="00EB21B4"/>
    <w:rsid w:val="00EB26A1"/>
    <w:rsid w:val="00EB2DDC"/>
    <w:rsid w:val="00EB3128"/>
    <w:rsid w:val="00EB315E"/>
    <w:rsid w:val="00EB39F2"/>
    <w:rsid w:val="00EB3F84"/>
    <w:rsid w:val="00EB48EF"/>
    <w:rsid w:val="00EB4AA2"/>
    <w:rsid w:val="00EB5877"/>
    <w:rsid w:val="00EB5E52"/>
    <w:rsid w:val="00EB6955"/>
    <w:rsid w:val="00EB7047"/>
    <w:rsid w:val="00EC0301"/>
    <w:rsid w:val="00EC07F1"/>
    <w:rsid w:val="00EC0C6B"/>
    <w:rsid w:val="00EC0E3E"/>
    <w:rsid w:val="00EC1326"/>
    <w:rsid w:val="00EC1644"/>
    <w:rsid w:val="00EC1ECB"/>
    <w:rsid w:val="00EC23BC"/>
    <w:rsid w:val="00EC318B"/>
    <w:rsid w:val="00EC34D7"/>
    <w:rsid w:val="00EC478C"/>
    <w:rsid w:val="00EC4FC9"/>
    <w:rsid w:val="00EC542B"/>
    <w:rsid w:val="00EC55E6"/>
    <w:rsid w:val="00EC60F9"/>
    <w:rsid w:val="00EC649C"/>
    <w:rsid w:val="00EC67DD"/>
    <w:rsid w:val="00EC7E78"/>
    <w:rsid w:val="00ED10CD"/>
    <w:rsid w:val="00ED1839"/>
    <w:rsid w:val="00ED2262"/>
    <w:rsid w:val="00ED29DE"/>
    <w:rsid w:val="00ED2B9A"/>
    <w:rsid w:val="00ED3762"/>
    <w:rsid w:val="00ED4AC4"/>
    <w:rsid w:val="00ED56D8"/>
    <w:rsid w:val="00ED5721"/>
    <w:rsid w:val="00ED6A56"/>
    <w:rsid w:val="00ED6FCE"/>
    <w:rsid w:val="00ED7BE9"/>
    <w:rsid w:val="00EE0089"/>
    <w:rsid w:val="00EE0E9D"/>
    <w:rsid w:val="00EE167C"/>
    <w:rsid w:val="00EE17D1"/>
    <w:rsid w:val="00EE1D04"/>
    <w:rsid w:val="00EE1E21"/>
    <w:rsid w:val="00EE382C"/>
    <w:rsid w:val="00EE513A"/>
    <w:rsid w:val="00EE63E5"/>
    <w:rsid w:val="00EE6476"/>
    <w:rsid w:val="00EE72D7"/>
    <w:rsid w:val="00EE7B91"/>
    <w:rsid w:val="00EE7BC3"/>
    <w:rsid w:val="00EE7CB3"/>
    <w:rsid w:val="00EF1267"/>
    <w:rsid w:val="00EF1502"/>
    <w:rsid w:val="00EF21EB"/>
    <w:rsid w:val="00EF231B"/>
    <w:rsid w:val="00EF3C7D"/>
    <w:rsid w:val="00EF4347"/>
    <w:rsid w:val="00EF4418"/>
    <w:rsid w:val="00EF49C8"/>
    <w:rsid w:val="00EF5AA1"/>
    <w:rsid w:val="00EF5F1A"/>
    <w:rsid w:val="00EF69F3"/>
    <w:rsid w:val="00EF764A"/>
    <w:rsid w:val="00EF7F9D"/>
    <w:rsid w:val="00F00AA7"/>
    <w:rsid w:val="00F00C8C"/>
    <w:rsid w:val="00F01C95"/>
    <w:rsid w:val="00F0205B"/>
    <w:rsid w:val="00F031DA"/>
    <w:rsid w:val="00F03467"/>
    <w:rsid w:val="00F03583"/>
    <w:rsid w:val="00F03DE6"/>
    <w:rsid w:val="00F04BFD"/>
    <w:rsid w:val="00F05578"/>
    <w:rsid w:val="00F059ED"/>
    <w:rsid w:val="00F05F5E"/>
    <w:rsid w:val="00F06122"/>
    <w:rsid w:val="00F101E1"/>
    <w:rsid w:val="00F11B97"/>
    <w:rsid w:val="00F12405"/>
    <w:rsid w:val="00F1244F"/>
    <w:rsid w:val="00F13C42"/>
    <w:rsid w:val="00F15649"/>
    <w:rsid w:val="00F16646"/>
    <w:rsid w:val="00F166B4"/>
    <w:rsid w:val="00F17D7C"/>
    <w:rsid w:val="00F21362"/>
    <w:rsid w:val="00F216EB"/>
    <w:rsid w:val="00F21726"/>
    <w:rsid w:val="00F220D6"/>
    <w:rsid w:val="00F221DA"/>
    <w:rsid w:val="00F22644"/>
    <w:rsid w:val="00F239F2"/>
    <w:rsid w:val="00F23B42"/>
    <w:rsid w:val="00F247DD"/>
    <w:rsid w:val="00F24AB1"/>
    <w:rsid w:val="00F262DB"/>
    <w:rsid w:val="00F27A22"/>
    <w:rsid w:val="00F303AE"/>
    <w:rsid w:val="00F30669"/>
    <w:rsid w:val="00F307D9"/>
    <w:rsid w:val="00F30D47"/>
    <w:rsid w:val="00F31C0B"/>
    <w:rsid w:val="00F323A8"/>
    <w:rsid w:val="00F323C9"/>
    <w:rsid w:val="00F32660"/>
    <w:rsid w:val="00F3354C"/>
    <w:rsid w:val="00F33E8B"/>
    <w:rsid w:val="00F353A9"/>
    <w:rsid w:val="00F35B0B"/>
    <w:rsid w:val="00F360CC"/>
    <w:rsid w:val="00F367F2"/>
    <w:rsid w:val="00F36E02"/>
    <w:rsid w:val="00F37697"/>
    <w:rsid w:val="00F403D1"/>
    <w:rsid w:val="00F42FCF"/>
    <w:rsid w:val="00F434E8"/>
    <w:rsid w:val="00F43CAC"/>
    <w:rsid w:val="00F43F04"/>
    <w:rsid w:val="00F44704"/>
    <w:rsid w:val="00F44752"/>
    <w:rsid w:val="00F464D1"/>
    <w:rsid w:val="00F4654E"/>
    <w:rsid w:val="00F46C28"/>
    <w:rsid w:val="00F47106"/>
    <w:rsid w:val="00F476F3"/>
    <w:rsid w:val="00F477DE"/>
    <w:rsid w:val="00F503F4"/>
    <w:rsid w:val="00F50887"/>
    <w:rsid w:val="00F51B1E"/>
    <w:rsid w:val="00F51EEA"/>
    <w:rsid w:val="00F52F33"/>
    <w:rsid w:val="00F53C84"/>
    <w:rsid w:val="00F54D88"/>
    <w:rsid w:val="00F551D0"/>
    <w:rsid w:val="00F5533E"/>
    <w:rsid w:val="00F55369"/>
    <w:rsid w:val="00F55E62"/>
    <w:rsid w:val="00F55E83"/>
    <w:rsid w:val="00F566D1"/>
    <w:rsid w:val="00F56768"/>
    <w:rsid w:val="00F57CBA"/>
    <w:rsid w:val="00F60D1F"/>
    <w:rsid w:val="00F61789"/>
    <w:rsid w:val="00F62858"/>
    <w:rsid w:val="00F63114"/>
    <w:rsid w:val="00F63973"/>
    <w:rsid w:val="00F64289"/>
    <w:rsid w:val="00F647EA"/>
    <w:rsid w:val="00F64DA2"/>
    <w:rsid w:val="00F65271"/>
    <w:rsid w:val="00F6534A"/>
    <w:rsid w:val="00F658CE"/>
    <w:rsid w:val="00F66898"/>
    <w:rsid w:val="00F66A00"/>
    <w:rsid w:val="00F674BA"/>
    <w:rsid w:val="00F67E1C"/>
    <w:rsid w:val="00F7046A"/>
    <w:rsid w:val="00F708EA"/>
    <w:rsid w:val="00F72EE5"/>
    <w:rsid w:val="00F74DD2"/>
    <w:rsid w:val="00F74FCD"/>
    <w:rsid w:val="00F75510"/>
    <w:rsid w:val="00F756B4"/>
    <w:rsid w:val="00F77D1B"/>
    <w:rsid w:val="00F801B4"/>
    <w:rsid w:val="00F80877"/>
    <w:rsid w:val="00F80D4A"/>
    <w:rsid w:val="00F80D4B"/>
    <w:rsid w:val="00F81EA7"/>
    <w:rsid w:val="00F82181"/>
    <w:rsid w:val="00F82F40"/>
    <w:rsid w:val="00F8446A"/>
    <w:rsid w:val="00F84916"/>
    <w:rsid w:val="00F8510F"/>
    <w:rsid w:val="00F85244"/>
    <w:rsid w:val="00F85896"/>
    <w:rsid w:val="00F86DFF"/>
    <w:rsid w:val="00F86E0F"/>
    <w:rsid w:val="00F87789"/>
    <w:rsid w:val="00F9019F"/>
    <w:rsid w:val="00F9097D"/>
    <w:rsid w:val="00F90BB2"/>
    <w:rsid w:val="00F90BC9"/>
    <w:rsid w:val="00F9130D"/>
    <w:rsid w:val="00F914D1"/>
    <w:rsid w:val="00F91A05"/>
    <w:rsid w:val="00F91A22"/>
    <w:rsid w:val="00F92B90"/>
    <w:rsid w:val="00F92C8E"/>
    <w:rsid w:val="00F9368D"/>
    <w:rsid w:val="00F9370C"/>
    <w:rsid w:val="00F9528F"/>
    <w:rsid w:val="00F96CBA"/>
    <w:rsid w:val="00F96CFB"/>
    <w:rsid w:val="00F96F9D"/>
    <w:rsid w:val="00FA0030"/>
    <w:rsid w:val="00FA052B"/>
    <w:rsid w:val="00FA08AE"/>
    <w:rsid w:val="00FA0C7F"/>
    <w:rsid w:val="00FA0DAB"/>
    <w:rsid w:val="00FA0FF9"/>
    <w:rsid w:val="00FA18A9"/>
    <w:rsid w:val="00FA345F"/>
    <w:rsid w:val="00FA5443"/>
    <w:rsid w:val="00FA68B8"/>
    <w:rsid w:val="00FA77A5"/>
    <w:rsid w:val="00FA7944"/>
    <w:rsid w:val="00FA7BAE"/>
    <w:rsid w:val="00FB0362"/>
    <w:rsid w:val="00FB0716"/>
    <w:rsid w:val="00FB0C95"/>
    <w:rsid w:val="00FB0D47"/>
    <w:rsid w:val="00FB12AE"/>
    <w:rsid w:val="00FB3408"/>
    <w:rsid w:val="00FB3470"/>
    <w:rsid w:val="00FB509E"/>
    <w:rsid w:val="00FB5FD6"/>
    <w:rsid w:val="00FB653C"/>
    <w:rsid w:val="00FB6F4D"/>
    <w:rsid w:val="00FB7584"/>
    <w:rsid w:val="00FB7B47"/>
    <w:rsid w:val="00FC04E5"/>
    <w:rsid w:val="00FC06B3"/>
    <w:rsid w:val="00FC101D"/>
    <w:rsid w:val="00FC2321"/>
    <w:rsid w:val="00FC49D0"/>
    <w:rsid w:val="00FC5D17"/>
    <w:rsid w:val="00FC7670"/>
    <w:rsid w:val="00FC7899"/>
    <w:rsid w:val="00FD0141"/>
    <w:rsid w:val="00FD0BA8"/>
    <w:rsid w:val="00FD1440"/>
    <w:rsid w:val="00FD18BD"/>
    <w:rsid w:val="00FD1C56"/>
    <w:rsid w:val="00FD205A"/>
    <w:rsid w:val="00FD229B"/>
    <w:rsid w:val="00FD2B2D"/>
    <w:rsid w:val="00FD3E4A"/>
    <w:rsid w:val="00FD44AA"/>
    <w:rsid w:val="00FD4C45"/>
    <w:rsid w:val="00FD5291"/>
    <w:rsid w:val="00FD6672"/>
    <w:rsid w:val="00FD71C9"/>
    <w:rsid w:val="00FD7501"/>
    <w:rsid w:val="00FD7EA0"/>
    <w:rsid w:val="00FE0195"/>
    <w:rsid w:val="00FE05E5"/>
    <w:rsid w:val="00FE07D7"/>
    <w:rsid w:val="00FE193A"/>
    <w:rsid w:val="00FE479B"/>
    <w:rsid w:val="00FE54FB"/>
    <w:rsid w:val="00FE60D9"/>
    <w:rsid w:val="00FE71AB"/>
    <w:rsid w:val="00FE762C"/>
    <w:rsid w:val="00FF003B"/>
    <w:rsid w:val="00FF0995"/>
    <w:rsid w:val="00FF0B77"/>
    <w:rsid w:val="00FF1303"/>
    <w:rsid w:val="00FF13BA"/>
    <w:rsid w:val="00FF1DBA"/>
    <w:rsid w:val="00FF2D79"/>
    <w:rsid w:val="00FF32D7"/>
    <w:rsid w:val="00FF3800"/>
    <w:rsid w:val="00FF4EED"/>
    <w:rsid w:val="00FF63D5"/>
    <w:rsid w:val="00FF647E"/>
    <w:rsid w:val="00FF782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224376"/>
  <w15:docId w15:val="{4C524649-2CD2-4D9B-81B4-6C76CD865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pPr>
        <w:spacing w:before="120" w:after="120"/>
        <w:ind w:left="714" w:hanging="357"/>
        <w:jc w:val="both"/>
      </w:pPr>
    </w:pPrDefault>
  </w:docDefaults>
  <w:latentStyles w:defLockedState="0" w:defUIPriority="0" w:defSemiHidden="0" w:defUnhideWhenUsed="0" w:defQFormat="0" w:count="376">
    <w:lsdException w:name="heading 1" w:uiPriority="99" w:qFormat="1"/>
    <w:lsdException w:name="heading 2" w:uiPriority="99" w:qFormat="1"/>
    <w:lsdException w:name="heading 3" w:uiPriority="99"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rsid w:val="00F031DA"/>
  </w:style>
  <w:style w:type="paragraph" w:styleId="Nagwek1">
    <w:name w:val="heading 1"/>
    <w:basedOn w:val="Normalny"/>
    <w:next w:val="Normalny"/>
    <w:link w:val="Nagwek1Znak"/>
    <w:uiPriority w:val="99"/>
    <w:qFormat/>
    <w:rsid w:val="00773FDC"/>
    <w:pPr>
      <w:keepNext/>
      <w:numPr>
        <w:numId w:val="10"/>
      </w:numPr>
      <w:spacing w:before="200" w:after="200" w:line="276" w:lineRule="auto"/>
      <w:outlineLvl w:val="0"/>
    </w:pPr>
    <w:rPr>
      <w:rFonts w:ascii="Calibri" w:hAnsi="Calibri"/>
      <w:b/>
      <w:sz w:val="24"/>
    </w:rPr>
  </w:style>
  <w:style w:type="paragraph" w:styleId="Nagwek2">
    <w:name w:val="heading 2"/>
    <w:basedOn w:val="Normalny"/>
    <w:next w:val="Normalny"/>
    <w:link w:val="Nagwek2Znak"/>
    <w:uiPriority w:val="99"/>
    <w:qFormat/>
    <w:rsid w:val="006D384A"/>
    <w:pPr>
      <w:keepNext/>
      <w:numPr>
        <w:ilvl w:val="1"/>
        <w:numId w:val="10"/>
      </w:numPr>
      <w:spacing w:before="160" w:line="276" w:lineRule="auto"/>
      <w:outlineLvl w:val="1"/>
    </w:pPr>
    <w:rPr>
      <w:rFonts w:ascii="Calibri" w:hAnsi="Calibri"/>
      <w:b/>
      <w:color w:val="000000"/>
      <w:sz w:val="22"/>
    </w:rPr>
  </w:style>
  <w:style w:type="paragraph" w:styleId="Nagwek3">
    <w:name w:val="heading 3"/>
    <w:basedOn w:val="Normalny"/>
    <w:next w:val="Normalny"/>
    <w:link w:val="Nagwek3Znak"/>
    <w:uiPriority w:val="99"/>
    <w:qFormat/>
    <w:rsid w:val="00DA5C46"/>
    <w:pPr>
      <w:keepNext/>
      <w:numPr>
        <w:ilvl w:val="2"/>
        <w:numId w:val="10"/>
      </w:numPr>
      <w:spacing w:line="276" w:lineRule="auto"/>
      <w:outlineLvl w:val="2"/>
    </w:pPr>
    <w:rPr>
      <w:rFonts w:ascii="Calibri" w:hAnsi="Calibri"/>
      <w:b/>
      <w:i/>
      <w:szCs w:val="24"/>
      <w:lang w:eastAsia="en-US"/>
    </w:rPr>
  </w:style>
  <w:style w:type="paragraph" w:styleId="Nagwek4">
    <w:name w:val="heading 4"/>
    <w:basedOn w:val="Nagwek5"/>
    <w:next w:val="Normalny"/>
    <w:link w:val="Nagwek4Znak"/>
    <w:qFormat/>
    <w:rsid w:val="00D4300C"/>
    <w:pPr>
      <w:numPr>
        <w:numId w:val="7"/>
      </w:numPr>
      <w:outlineLvl w:val="3"/>
    </w:pPr>
    <w:rPr>
      <w:color w:val="000000"/>
    </w:rPr>
  </w:style>
  <w:style w:type="paragraph" w:styleId="Nagwek5">
    <w:name w:val="heading 5"/>
    <w:basedOn w:val="Normalny"/>
    <w:next w:val="Normalny"/>
    <w:link w:val="Nagwek5Znak"/>
    <w:qFormat/>
    <w:rsid w:val="002F0987"/>
    <w:pPr>
      <w:widowControl w:val="0"/>
      <w:ind w:left="0" w:firstLine="0"/>
      <w:outlineLvl w:val="4"/>
    </w:pPr>
    <w:rPr>
      <w:rFonts w:ascii="Calibri" w:hAnsi="Calibri"/>
      <w:sz w:val="22"/>
    </w:rPr>
  </w:style>
  <w:style w:type="paragraph" w:styleId="Nagwek6">
    <w:name w:val="heading 6"/>
    <w:basedOn w:val="Normalny"/>
    <w:next w:val="Normalny"/>
    <w:uiPriority w:val="9"/>
    <w:qFormat/>
    <w:rsid w:val="001F30E7"/>
    <w:pPr>
      <w:keepNext/>
      <w:numPr>
        <w:ilvl w:val="5"/>
        <w:numId w:val="10"/>
      </w:numPr>
      <w:ind w:right="-567"/>
      <w:jc w:val="right"/>
      <w:outlineLvl w:val="5"/>
    </w:pPr>
    <w:rPr>
      <w:sz w:val="24"/>
    </w:rPr>
  </w:style>
  <w:style w:type="paragraph" w:styleId="Nagwek7">
    <w:name w:val="heading 7"/>
    <w:basedOn w:val="Normalny"/>
    <w:next w:val="Normalny"/>
    <w:uiPriority w:val="9"/>
    <w:qFormat/>
    <w:rsid w:val="001F30E7"/>
    <w:pPr>
      <w:numPr>
        <w:ilvl w:val="6"/>
        <w:numId w:val="10"/>
      </w:numPr>
      <w:spacing w:before="240" w:after="60" w:line="360" w:lineRule="auto"/>
      <w:outlineLvl w:val="6"/>
    </w:pPr>
    <w:rPr>
      <w:rFonts w:ascii="Arial" w:hAnsi="Arial"/>
    </w:rPr>
  </w:style>
  <w:style w:type="paragraph" w:styleId="Nagwek8">
    <w:name w:val="heading 8"/>
    <w:basedOn w:val="Normalny"/>
    <w:next w:val="Normalny"/>
    <w:uiPriority w:val="9"/>
    <w:qFormat/>
    <w:rsid w:val="001F30E7"/>
    <w:pPr>
      <w:numPr>
        <w:ilvl w:val="7"/>
        <w:numId w:val="10"/>
      </w:numPr>
      <w:spacing w:before="240" w:after="60" w:line="360" w:lineRule="auto"/>
      <w:outlineLvl w:val="7"/>
    </w:pPr>
    <w:rPr>
      <w:rFonts w:ascii="Arial" w:hAnsi="Arial"/>
      <w:i/>
    </w:rPr>
  </w:style>
  <w:style w:type="paragraph" w:styleId="Nagwek9">
    <w:name w:val="heading 9"/>
    <w:basedOn w:val="Normalny"/>
    <w:next w:val="Normalny"/>
    <w:uiPriority w:val="9"/>
    <w:qFormat/>
    <w:rsid w:val="001F30E7"/>
    <w:pPr>
      <w:numPr>
        <w:ilvl w:val="8"/>
        <w:numId w:val="10"/>
      </w:numPr>
      <w:spacing w:before="240" w:after="60" w:line="360" w:lineRule="auto"/>
      <w:outlineLvl w:val="8"/>
    </w:pPr>
    <w:rPr>
      <w:rFonts w:ascii="Arial" w:hAnsi="Arial"/>
      <w:i/>
      <w:sz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rsid w:val="001F30E7"/>
    <w:pPr>
      <w:tabs>
        <w:tab w:val="center" w:pos="4536"/>
        <w:tab w:val="right" w:pos="9072"/>
      </w:tabs>
    </w:pPr>
  </w:style>
  <w:style w:type="character" w:styleId="Numerstrony">
    <w:name w:val="page number"/>
    <w:basedOn w:val="Domylnaczcionkaakapitu"/>
    <w:rsid w:val="001F30E7"/>
  </w:style>
  <w:style w:type="paragraph" w:styleId="Spistreci1">
    <w:name w:val="toc 1"/>
    <w:aliases w:val="SPIS TREŚCI"/>
    <w:basedOn w:val="Normalny"/>
    <w:next w:val="Normalny"/>
    <w:autoRedefine/>
    <w:uiPriority w:val="39"/>
    <w:qFormat/>
    <w:rsid w:val="006B2954"/>
    <w:pPr>
      <w:tabs>
        <w:tab w:val="left" w:pos="714"/>
        <w:tab w:val="right" w:leader="dot" w:pos="9061"/>
      </w:tabs>
      <w:ind w:left="1037"/>
    </w:pPr>
    <w:rPr>
      <w:rFonts w:asciiTheme="minorHAnsi" w:hAnsiTheme="minorHAnsi"/>
      <w:b/>
      <w:bCs/>
      <w:caps/>
    </w:rPr>
  </w:style>
  <w:style w:type="paragraph" w:styleId="Spistreci2">
    <w:name w:val="toc 2"/>
    <w:basedOn w:val="Normalny"/>
    <w:next w:val="Normalny"/>
    <w:autoRedefine/>
    <w:uiPriority w:val="39"/>
    <w:qFormat/>
    <w:rsid w:val="001F30E7"/>
    <w:pPr>
      <w:ind w:left="200"/>
    </w:pPr>
    <w:rPr>
      <w:rFonts w:asciiTheme="minorHAnsi" w:hAnsiTheme="minorHAnsi"/>
      <w:smallCaps/>
    </w:rPr>
  </w:style>
  <w:style w:type="paragraph" w:styleId="Spistreci3">
    <w:name w:val="toc 3"/>
    <w:basedOn w:val="Normalny"/>
    <w:next w:val="Normalny"/>
    <w:autoRedefine/>
    <w:uiPriority w:val="39"/>
    <w:qFormat/>
    <w:rsid w:val="00E96369"/>
    <w:pPr>
      <w:tabs>
        <w:tab w:val="left" w:pos="1037"/>
        <w:tab w:val="right" w:leader="dot" w:pos="9061"/>
      </w:tabs>
      <w:ind w:left="400"/>
    </w:pPr>
    <w:rPr>
      <w:rFonts w:asciiTheme="minorHAnsi" w:hAnsiTheme="minorHAnsi" w:cstheme="minorHAnsi"/>
      <w:i/>
      <w:iCs/>
      <w:noProof/>
      <w:color w:val="000000" w:themeColor="text1"/>
    </w:rPr>
  </w:style>
  <w:style w:type="paragraph" w:styleId="Spistreci4">
    <w:name w:val="toc 4"/>
    <w:basedOn w:val="Normalny"/>
    <w:next w:val="Normalny"/>
    <w:autoRedefine/>
    <w:uiPriority w:val="39"/>
    <w:rsid w:val="001F30E7"/>
    <w:pPr>
      <w:ind w:left="600"/>
    </w:pPr>
    <w:rPr>
      <w:rFonts w:asciiTheme="minorHAnsi" w:hAnsiTheme="minorHAnsi"/>
      <w:sz w:val="18"/>
      <w:szCs w:val="18"/>
    </w:rPr>
  </w:style>
  <w:style w:type="paragraph" w:styleId="Spistreci5">
    <w:name w:val="toc 5"/>
    <w:basedOn w:val="Normalny"/>
    <w:next w:val="Normalny"/>
    <w:autoRedefine/>
    <w:uiPriority w:val="39"/>
    <w:rsid w:val="001F30E7"/>
    <w:pPr>
      <w:ind w:left="800"/>
    </w:pPr>
    <w:rPr>
      <w:rFonts w:asciiTheme="minorHAnsi" w:hAnsiTheme="minorHAnsi"/>
      <w:sz w:val="18"/>
      <w:szCs w:val="18"/>
    </w:rPr>
  </w:style>
  <w:style w:type="paragraph" w:styleId="Spistreci6">
    <w:name w:val="toc 6"/>
    <w:basedOn w:val="Normalny"/>
    <w:next w:val="Normalny"/>
    <w:autoRedefine/>
    <w:uiPriority w:val="39"/>
    <w:rsid w:val="001F30E7"/>
    <w:pPr>
      <w:ind w:left="1000"/>
    </w:pPr>
    <w:rPr>
      <w:rFonts w:asciiTheme="minorHAnsi" w:hAnsiTheme="minorHAnsi"/>
      <w:sz w:val="18"/>
      <w:szCs w:val="18"/>
    </w:rPr>
  </w:style>
  <w:style w:type="paragraph" w:styleId="Spistreci7">
    <w:name w:val="toc 7"/>
    <w:basedOn w:val="Normalny"/>
    <w:next w:val="Normalny"/>
    <w:autoRedefine/>
    <w:uiPriority w:val="39"/>
    <w:rsid w:val="001F30E7"/>
    <w:pPr>
      <w:ind w:left="1200"/>
    </w:pPr>
    <w:rPr>
      <w:rFonts w:asciiTheme="minorHAnsi" w:hAnsiTheme="minorHAnsi"/>
      <w:sz w:val="18"/>
      <w:szCs w:val="18"/>
    </w:rPr>
  </w:style>
  <w:style w:type="paragraph" w:styleId="Spistreci8">
    <w:name w:val="toc 8"/>
    <w:basedOn w:val="Normalny"/>
    <w:next w:val="Normalny"/>
    <w:autoRedefine/>
    <w:uiPriority w:val="39"/>
    <w:rsid w:val="001F30E7"/>
    <w:pPr>
      <w:ind w:left="1400"/>
    </w:pPr>
    <w:rPr>
      <w:rFonts w:asciiTheme="minorHAnsi" w:hAnsiTheme="minorHAnsi"/>
      <w:sz w:val="18"/>
      <w:szCs w:val="18"/>
    </w:rPr>
  </w:style>
  <w:style w:type="paragraph" w:styleId="Spistreci9">
    <w:name w:val="toc 9"/>
    <w:basedOn w:val="Normalny"/>
    <w:next w:val="Normalny"/>
    <w:autoRedefine/>
    <w:uiPriority w:val="39"/>
    <w:rsid w:val="001F30E7"/>
    <w:pPr>
      <w:ind w:left="1600"/>
    </w:pPr>
    <w:rPr>
      <w:rFonts w:asciiTheme="minorHAnsi" w:hAnsiTheme="minorHAnsi"/>
      <w:sz w:val="18"/>
      <w:szCs w:val="18"/>
    </w:rPr>
  </w:style>
  <w:style w:type="character" w:styleId="Hipercze">
    <w:name w:val="Hyperlink"/>
    <w:basedOn w:val="Domylnaczcionkaakapitu"/>
    <w:uiPriority w:val="99"/>
    <w:rsid w:val="001F30E7"/>
    <w:rPr>
      <w:color w:val="0000FF"/>
      <w:u w:val="single"/>
    </w:rPr>
  </w:style>
  <w:style w:type="paragraph" w:styleId="Tekstblokowy">
    <w:name w:val="Block Text"/>
    <w:basedOn w:val="Normalny"/>
    <w:rsid w:val="001F30E7"/>
    <w:pPr>
      <w:tabs>
        <w:tab w:val="right" w:pos="8789"/>
      </w:tabs>
      <w:ind w:left="1134" w:right="508" w:hanging="567"/>
    </w:pPr>
    <w:rPr>
      <w:sz w:val="24"/>
    </w:rPr>
  </w:style>
  <w:style w:type="paragraph" w:customStyle="1" w:styleId="styl0">
    <w:name w:val="styl0"/>
    <w:basedOn w:val="Normalny"/>
    <w:rsid w:val="001F30E7"/>
    <w:pPr>
      <w:tabs>
        <w:tab w:val="center" w:pos="4536"/>
        <w:tab w:val="right" w:pos="9072"/>
      </w:tabs>
    </w:pPr>
    <w:rPr>
      <w:sz w:val="24"/>
    </w:rPr>
  </w:style>
  <w:style w:type="paragraph" w:styleId="Nagwek">
    <w:name w:val="header"/>
    <w:basedOn w:val="Normalny"/>
    <w:link w:val="NagwekZnak"/>
    <w:rsid w:val="001F30E7"/>
    <w:pPr>
      <w:tabs>
        <w:tab w:val="center" w:pos="4536"/>
        <w:tab w:val="right" w:pos="9072"/>
      </w:tabs>
    </w:pPr>
  </w:style>
  <w:style w:type="paragraph" w:styleId="Tekstpodstawowywcity">
    <w:name w:val="Body Text Indent"/>
    <w:basedOn w:val="Normalny"/>
    <w:rsid w:val="001F30E7"/>
    <w:pPr>
      <w:ind w:left="709"/>
    </w:pPr>
    <w:rPr>
      <w:sz w:val="24"/>
    </w:rPr>
  </w:style>
  <w:style w:type="paragraph" w:styleId="Tekstprzypisudolnego">
    <w:name w:val="footnote text"/>
    <w:basedOn w:val="Normalny"/>
    <w:semiHidden/>
    <w:rsid w:val="001F30E7"/>
  </w:style>
  <w:style w:type="character" w:styleId="Odwoanieprzypisudolnego">
    <w:name w:val="footnote reference"/>
    <w:basedOn w:val="Domylnaczcionkaakapitu"/>
    <w:semiHidden/>
    <w:rsid w:val="001F30E7"/>
    <w:rPr>
      <w:vertAlign w:val="superscript"/>
    </w:rPr>
  </w:style>
  <w:style w:type="character" w:styleId="UyteHipercze">
    <w:name w:val="FollowedHyperlink"/>
    <w:basedOn w:val="Domylnaczcionkaakapitu"/>
    <w:rsid w:val="001F30E7"/>
    <w:rPr>
      <w:color w:val="800080"/>
      <w:u w:val="single"/>
    </w:rPr>
  </w:style>
  <w:style w:type="paragraph" w:styleId="Tekstpodstawowy">
    <w:name w:val="Body Text"/>
    <w:basedOn w:val="Normalny"/>
    <w:rsid w:val="001F30E7"/>
    <w:rPr>
      <w:sz w:val="28"/>
      <w:szCs w:val="24"/>
      <w:lang w:eastAsia="en-US"/>
    </w:rPr>
  </w:style>
  <w:style w:type="paragraph" w:styleId="Tekstpodstawowy2">
    <w:name w:val="Body Text 2"/>
    <w:basedOn w:val="Normalny"/>
    <w:rsid w:val="001F30E7"/>
    <w:pPr>
      <w:spacing w:line="360" w:lineRule="auto"/>
      <w:ind w:right="-110"/>
    </w:pPr>
    <w:rPr>
      <w:sz w:val="24"/>
      <w:szCs w:val="24"/>
      <w:lang w:eastAsia="en-US"/>
    </w:rPr>
  </w:style>
  <w:style w:type="paragraph" w:styleId="Tekstpodstawowywcity2">
    <w:name w:val="Body Text Indent 2"/>
    <w:basedOn w:val="Normalny"/>
    <w:rsid w:val="001F30E7"/>
    <w:pPr>
      <w:tabs>
        <w:tab w:val="left" w:pos="8222"/>
      </w:tabs>
      <w:ind w:left="-567"/>
    </w:pPr>
    <w:rPr>
      <w:sz w:val="22"/>
    </w:rPr>
  </w:style>
  <w:style w:type="paragraph" w:styleId="Tekstpodstawowywcity3">
    <w:name w:val="Body Text Indent 3"/>
    <w:basedOn w:val="Normalny"/>
    <w:rsid w:val="001F30E7"/>
    <w:pPr>
      <w:tabs>
        <w:tab w:val="left" w:pos="8222"/>
      </w:tabs>
      <w:ind w:left="284"/>
    </w:pPr>
    <w:rPr>
      <w:sz w:val="22"/>
    </w:rPr>
  </w:style>
  <w:style w:type="paragraph" w:styleId="Tekstpodstawowy3">
    <w:name w:val="Body Text 3"/>
    <w:basedOn w:val="Normalny"/>
    <w:rsid w:val="001F30E7"/>
    <w:rPr>
      <w:i/>
    </w:rPr>
  </w:style>
  <w:style w:type="paragraph" w:styleId="Akapitzlist">
    <w:name w:val="List Paragraph"/>
    <w:aliases w:val="Nag 1,Tytuł_procedury"/>
    <w:basedOn w:val="Normalny"/>
    <w:link w:val="AkapitzlistZnak"/>
    <w:uiPriority w:val="34"/>
    <w:qFormat/>
    <w:rsid w:val="0049692C"/>
    <w:pPr>
      <w:ind w:left="720"/>
      <w:contextualSpacing/>
    </w:pPr>
  </w:style>
  <w:style w:type="paragraph" w:styleId="Nagwekspisutreci">
    <w:name w:val="TOC Heading"/>
    <w:basedOn w:val="Nagwek1"/>
    <w:next w:val="Normalny"/>
    <w:uiPriority w:val="39"/>
    <w:qFormat/>
    <w:rsid w:val="005F0730"/>
    <w:pPr>
      <w:keepLines/>
      <w:numPr>
        <w:numId w:val="0"/>
      </w:numPr>
      <w:spacing w:before="480" w:after="0"/>
      <w:jc w:val="left"/>
      <w:outlineLvl w:val="9"/>
    </w:pPr>
    <w:rPr>
      <w:rFonts w:ascii="Cambria" w:hAnsi="Cambria"/>
      <w:bCs/>
      <w:color w:val="365F91"/>
      <w:sz w:val="28"/>
      <w:szCs w:val="28"/>
      <w:lang w:eastAsia="en-US"/>
    </w:rPr>
  </w:style>
  <w:style w:type="paragraph" w:styleId="Tekstdymka">
    <w:name w:val="Balloon Text"/>
    <w:basedOn w:val="Normalny"/>
    <w:link w:val="TekstdymkaZnak"/>
    <w:rsid w:val="005F0730"/>
    <w:rPr>
      <w:rFonts w:ascii="Tahoma" w:hAnsi="Tahoma" w:cs="Tahoma"/>
      <w:sz w:val="16"/>
      <w:szCs w:val="16"/>
    </w:rPr>
  </w:style>
  <w:style w:type="character" w:customStyle="1" w:styleId="TekstdymkaZnak">
    <w:name w:val="Tekst dymka Znak"/>
    <w:basedOn w:val="Domylnaczcionkaakapitu"/>
    <w:link w:val="Tekstdymka"/>
    <w:rsid w:val="005F0730"/>
    <w:rPr>
      <w:rFonts w:ascii="Tahoma" w:hAnsi="Tahoma" w:cs="Tahoma"/>
      <w:sz w:val="16"/>
      <w:szCs w:val="16"/>
    </w:rPr>
  </w:style>
  <w:style w:type="character" w:styleId="Odwoaniedokomentarza">
    <w:name w:val="annotation reference"/>
    <w:basedOn w:val="Domylnaczcionkaakapitu"/>
    <w:rsid w:val="00071242"/>
    <w:rPr>
      <w:sz w:val="16"/>
      <w:szCs w:val="16"/>
    </w:rPr>
  </w:style>
  <w:style w:type="paragraph" w:styleId="Tekstkomentarza">
    <w:name w:val="annotation text"/>
    <w:basedOn w:val="Normalny"/>
    <w:link w:val="TekstkomentarzaZnak"/>
    <w:rsid w:val="00071242"/>
  </w:style>
  <w:style w:type="character" w:customStyle="1" w:styleId="TekstkomentarzaZnak">
    <w:name w:val="Tekst komentarza Znak"/>
    <w:basedOn w:val="Domylnaczcionkaakapitu"/>
    <w:link w:val="Tekstkomentarza"/>
    <w:rsid w:val="00071242"/>
  </w:style>
  <w:style w:type="paragraph" w:styleId="Tematkomentarza">
    <w:name w:val="annotation subject"/>
    <w:basedOn w:val="Tekstkomentarza"/>
    <w:next w:val="Tekstkomentarza"/>
    <w:link w:val="TematkomentarzaZnak"/>
    <w:rsid w:val="00071242"/>
    <w:rPr>
      <w:b/>
      <w:bCs/>
    </w:rPr>
  </w:style>
  <w:style w:type="character" w:customStyle="1" w:styleId="TematkomentarzaZnak">
    <w:name w:val="Temat komentarza Znak"/>
    <w:basedOn w:val="TekstkomentarzaZnak"/>
    <w:link w:val="Tematkomentarza"/>
    <w:rsid w:val="00071242"/>
    <w:rPr>
      <w:b/>
      <w:bCs/>
    </w:rPr>
  </w:style>
  <w:style w:type="character" w:customStyle="1" w:styleId="NagwekZnak">
    <w:name w:val="Nagłówek Znak"/>
    <w:basedOn w:val="Domylnaczcionkaakapitu"/>
    <w:link w:val="Nagwek"/>
    <w:rsid w:val="00753A89"/>
  </w:style>
  <w:style w:type="paragraph" w:styleId="Bezodstpw">
    <w:name w:val="No Spacing"/>
    <w:link w:val="BezodstpwZnak"/>
    <w:uiPriority w:val="1"/>
    <w:qFormat/>
    <w:rsid w:val="002125DD"/>
    <w:rPr>
      <w:rFonts w:asciiTheme="minorHAnsi" w:eastAsiaTheme="minorEastAsia" w:hAnsiTheme="minorHAnsi" w:cstheme="minorBidi"/>
      <w:sz w:val="22"/>
      <w:szCs w:val="22"/>
      <w:lang w:eastAsia="en-US"/>
    </w:rPr>
  </w:style>
  <w:style w:type="character" w:customStyle="1" w:styleId="BezodstpwZnak">
    <w:name w:val="Bez odstępów Znak"/>
    <w:basedOn w:val="Domylnaczcionkaakapitu"/>
    <w:link w:val="Bezodstpw"/>
    <w:uiPriority w:val="1"/>
    <w:rsid w:val="002125DD"/>
    <w:rPr>
      <w:rFonts w:asciiTheme="minorHAnsi" w:eastAsiaTheme="minorEastAsia" w:hAnsiTheme="minorHAnsi" w:cstheme="minorBidi"/>
      <w:sz w:val="22"/>
      <w:szCs w:val="22"/>
      <w:lang w:eastAsia="en-US"/>
    </w:rPr>
  </w:style>
  <w:style w:type="paragraph" w:customStyle="1" w:styleId="Wylicza">
    <w:name w:val="Wylicz a"/>
    <w:basedOn w:val="Tekstpodstawowy"/>
    <w:autoRedefine/>
    <w:rsid w:val="00F101E1"/>
    <w:pPr>
      <w:numPr>
        <w:ilvl w:val="1"/>
        <w:numId w:val="1"/>
      </w:numPr>
    </w:pPr>
    <w:rPr>
      <w:rFonts w:ascii="Arial" w:hAnsi="Arial"/>
      <w:bCs/>
      <w:sz w:val="24"/>
      <w:szCs w:val="20"/>
      <w:lang w:eastAsia="pl-PL"/>
    </w:rPr>
  </w:style>
  <w:style w:type="paragraph" w:customStyle="1" w:styleId="Wylicz1">
    <w:name w:val="Wylicz 1"/>
    <w:basedOn w:val="Normalny"/>
    <w:autoRedefine/>
    <w:rsid w:val="00752BCD"/>
    <w:pPr>
      <w:numPr>
        <w:numId w:val="4"/>
      </w:numPr>
      <w:spacing w:after="60" w:line="276" w:lineRule="auto"/>
    </w:pPr>
    <w:rPr>
      <w:rFonts w:asciiTheme="minorHAnsi" w:hAnsiTheme="minorHAnsi"/>
      <w:sz w:val="22"/>
      <w:szCs w:val="22"/>
      <w:lang w:eastAsia="en-US"/>
    </w:rPr>
  </w:style>
  <w:style w:type="paragraph" w:customStyle="1" w:styleId="1Wylicza">
    <w:name w:val="1 Wylicz a)"/>
    <w:basedOn w:val="Wylicza"/>
    <w:rsid w:val="00F101E1"/>
  </w:style>
  <w:style w:type="character" w:customStyle="1" w:styleId="StopkaZnak">
    <w:name w:val="Stopka Znak"/>
    <w:basedOn w:val="Domylnaczcionkaakapitu"/>
    <w:link w:val="Stopka"/>
    <w:uiPriority w:val="99"/>
    <w:rsid w:val="004A3C5A"/>
  </w:style>
  <w:style w:type="paragraph" w:customStyle="1" w:styleId="akapit1">
    <w:name w:val="akapit_1"/>
    <w:basedOn w:val="Normalny"/>
    <w:rsid w:val="007712C8"/>
    <w:pPr>
      <w:tabs>
        <w:tab w:val="right" w:leader="dot" w:pos="8931"/>
      </w:tabs>
      <w:spacing w:line="480" w:lineRule="atLeast"/>
      <w:ind w:left="567" w:firstLine="567"/>
    </w:pPr>
    <w:rPr>
      <w:rFonts w:ascii="Arial" w:hAnsi="Arial" w:cs="Arial"/>
      <w:sz w:val="24"/>
      <w:szCs w:val="24"/>
    </w:rPr>
  </w:style>
  <w:style w:type="paragraph" w:customStyle="1" w:styleId="akap1">
    <w:name w:val="akap1"/>
    <w:basedOn w:val="Normalny"/>
    <w:rsid w:val="007712C8"/>
    <w:pPr>
      <w:tabs>
        <w:tab w:val="right" w:leader="dot" w:pos="8931"/>
      </w:tabs>
      <w:spacing w:line="480" w:lineRule="auto"/>
      <w:ind w:left="567" w:hanging="567"/>
    </w:pPr>
    <w:rPr>
      <w:rFonts w:ascii="Arial" w:hAnsi="Arial" w:cs="Arial"/>
      <w:sz w:val="24"/>
      <w:szCs w:val="24"/>
    </w:rPr>
  </w:style>
  <w:style w:type="paragraph" w:customStyle="1" w:styleId="Akapitzlist1">
    <w:name w:val="Akapit z listą1"/>
    <w:basedOn w:val="Normalny"/>
    <w:rsid w:val="007712C8"/>
    <w:pPr>
      <w:spacing w:after="200" w:line="276" w:lineRule="auto"/>
      <w:ind w:left="720"/>
    </w:pPr>
    <w:rPr>
      <w:rFonts w:ascii="Calibri" w:hAnsi="Calibri" w:cs="Calibri"/>
      <w:sz w:val="22"/>
      <w:szCs w:val="22"/>
      <w:lang w:eastAsia="en-US"/>
    </w:rPr>
  </w:style>
  <w:style w:type="paragraph" w:styleId="Indeks1">
    <w:name w:val="index 1"/>
    <w:basedOn w:val="Normalny"/>
    <w:next w:val="Normalny"/>
    <w:autoRedefine/>
    <w:rsid w:val="00F43F04"/>
    <w:pPr>
      <w:numPr>
        <w:numId w:val="2"/>
      </w:numPr>
      <w:spacing w:before="100" w:beforeAutospacing="1" w:after="100" w:afterAutospacing="1"/>
    </w:pPr>
    <w:rPr>
      <w:rFonts w:ascii="Verdana" w:hAnsi="Verdana"/>
      <w:bCs/>
      <w:iCs/>
    </w:rPr>
  </w:style>
  <w:style w:type="paragraph" w:customStyle="1" w:styleId="Akapitzlist2">
    <w:name w:val="Akapit z listą2"/>
    <w:basedOn w:val="Normalny"/>
    <w:rsid w:val="00830034"/>
    <w:pPr>
      <w:spacing w:after="200" w:line="276" w:lineRule="auto"/>
      <w:ind w:left="720"/>
    </w:pPr>
    <w:rPr>
      <w:rFonts w:ascii="Calibri" w:hAnsi="Calibri" w:cs="Calibri"/>
      <w:sz w:val="22"/>
      <w:szCs w:val="22"/>
      <w:lang w:eastAsia="en-US"/>
    </w:rPr>
  </w:style>
  <w:style w:type="paragraph" w:customStyle="1" w:styleId="ppunkt1">
    <w:name w:val="p_punkt_1"/>
    <w:basedOn w:val="Normalny"/>
    <w:rsid w:val="00E5290B"/>
    <w:pPr>
      <w:spacing w:line="360" w:lineRule="atLeast"/>
      <w:ind w:left="1135" w:hanging="568"/>
    </w:pPr>
    <w:rPr>
      <w:sz w:val="26"/>
      <w:u w:val="single"/>
    </w:rPr>
  </w:style>
  <w:style w:type="paragraph" w:customStyle="1" w:styleId="mylniki">
    <w:name w:val="myślniki"/>
    <w:basedOn w:val="Normalny"/>
    <w:link w:val="mylnikiZnak"/>
    <w:qFormat/>
    <w:rsid w:val="009D1AC0"/>
    <w:pPr>
      <w:numPr>
        <w:numId w:val="5"/>
      </w:numPr>
      <w:spacing w:before="0" w:after="0"/>
      <w:ind w:left="720"/>
    </w:pPr>
    <w:rPr>
      <w:rFonts w:asciiTheme="minorHAnsi" w:hAnsiTheme="minorHAnsi"/>
      <w:color w:val="000000"/>
      <w:sz w:val="22"/>
      <w:szCs w:val="22"/>
    </w:rPr>
  </w:style>
  <w:style w:type="character" w:customStyle="1" w:styleId="mylnikiZnak">
    <w:name w:val="myślniki Znak"/>
    <w:basedOn w:val="Domylnaczcionkaakapitu"/>
    <w:link w:val="mylniki"/>
    <w:rsid w:val="009D1AC0"/>
    <w:rPr>
      <w:rFonts w:asciiTheme="minorHAnsi" w:hAnsiTheme="minorHAnsi"/>
      <w:color w:val="000000"/>
      <w:sz w:val="22"/>
      <w:szCs w:val="22"/>
    </w:rPr>
  </w:style>
  <w:style w:type="character" w:styleId="Tekstzastpczy">
    <w:name w:val="Placeholder Text"/>
    <w:basedOn w:val="Domylnaczcionkaakapitu"/>
    <w:uiPriority w:val="99"/>
    <w:semiHidden/>
    <w:rsid w:val="00267F98"/>
    <w:rPr>
      <w:color w:val="808080"/>
    </w:rPr>
  </w:style>
  <w:style w:type="paragraph" w:customStyle="1" w:styleId="literki">
    <w:name w:val="literki"/>
    <w:basedOn w:val="mylniki"/>
    <w:link w:val="literkiZnak"/>
    <w:qFormat/>
    <w:rsid w:val="00454D4B"/>
    <w:pPr>
      <w:numPr>
        <w:numId w:val="3"/>
      </w:numPr>
      <w:ind w:left="1434" w:hanging="357"/>
    </w:pPr>
  </w:style>
  <w:style w:type="character" w:customStyle="1" w:styleId="literkiZnak">
    <w:name w:val="literki Znak"/>
    <w:basedOn w:val="mylnikiZnak"/>
    <w:link w:val="literki"/>
    <w:rsid w:val="00454D4B"/>
    <w:rPr>
      <w:rFonts w:asciiTheme="minorHAnsi" w:hAnsiTheme="minorHAnsi"/>
      <w:color w:val="000000"/>
      <w:sz w:val="22"/>
      <w:szCs w:val="22"/>
    </w:rPr>
  </w:style>
  <w:style w:type="character" w:customStyle="1" w:styleId="Nagwek5Znak">
    <w:name w:val="Nagłówek 5 Znak"/>
    <w:basedOn w:val="Domylnaczcionkaakapitu"/>
    <w:link w:val="Nagwek5"/>
    <w:rsid w:val="002F0987"/>
    <w:rPr>
      <w:rFonts w:ascii="Calibri" w:hAnsi="Calibri"/>
      <w:sz w:val="22"/>
    </w:rPr>
  </w:style>
  <w:style w:type="character" w:customStyle="1" w:styleId="Nagwek3Znak">
    <w:name w:val="Nagłówek 3 Znak"/>
    <w:basedOn w:val="Domylnaczcionkaakapitu"/>
    <w:link w:val="Nagwek3"/>
    <w:uiPriority w:val="99"/>
    <w:rsid w:val="00DA5C46"/>
    <w:rPr>
      <w:rFonts w:ascii="Calibri" w:hAnsi="Calibri"/>
      <w:b/>
      <w:i/>
      <w:szCs w:val="24"/>
      <w:lang w:eastAsia="en-US"/>
    </w:rPr>
  </w:style>
  <w:style w:type="character" w:customStyle="1" w:styleId="Nagwek1Znak">
    <w:name w:val="Nagłówek 1 Znak"/>
    <w:basedOn w:val="Domylnaczcionkaakapitu"/>
    <w:link w:val="Nagwek1"/>
    <w:uiPriority w:val="99"/>
    <w:rsid w:val="00773FDC"/>
    <w:rPr>
      <w:rFonts w:ascii="Calibri" w:hAnsi="Calibri"/>
      <w:b/>
      <w:sz w:val="24"/>
    </w:rPr>
  </w:style>
  <w:style w:type="paragraph" w:customStyle="1" w:styleId="bezpunkw">
    <w:name w:val="bez punków"/>
    <w:basedOn w:val="Normalny"/>
    <w:link w:val="bezpunkwZnak"/>
    <w:qFormat/>
    <w:rsid w:val="009D1AC0"/>
    <w:pPr>
      <w:ind w:left="0" w:firstLine="426"/>
    </w:pPr>
    <w:rPr>
      <w:rFonts w:asciiTheme="minorHAnsi" w:hAnsiTheme="minorHAnsi"/>
      <w:sz w:val="22"/>
      <w:szCs w:val="22"/>
    </w:rPr>
  </w:style>
  <w:style w:type="character" w:customStyle="1" w:styleId="bezpunkwZnak">
    <w:name w:val="bez punków Znak"/>
    <w:basedOn w:val="Domylnaczcionkaakapitu"/>
    <w:link w:val="bezpunkw"/>
    <w:rsid w:val="009D1AC0"/>
    <w:rPr>
      <w:rFonts w:asciiTheme="minorHAnsi" w:hAnsiTheme="minorHAnsi"/>
      <w:sz w:val="22"/>
      <w:szCs w:val="22"/>
    </w:rPr>
  </w:style>
  <w:style w:type="paragraph" w:styleId="Tekstprzypisukocowego">
    <w:name w:val="endnote text"/>
    <w:basedOn w:val="Normalny"/>
    <w:link w:val="TekstprzypisukocowegoZnak"/>
    <w:rsid w:val="003F3291"/>
    <w:pPr>
      <w:spacing w:before="0" w:after="0"/>
    </w:pPr>
  </w:style>
  <w:style w:type="character" w:customStyle="1" w:styleId="TekstprzypisukocowegoZnak">
    <w:name w:val="Tekst przypisu końcowego Znak"/>
    <w:basedOn w:val="Domylnaczcionkaakapitu"/>
    <w:link w:val="Tekstprzypisukocowego"/>
    <w:rsid w:val="003F3291"/>
  </w:style>
  <w:style w:type="character" w:styleId="Odwoanieprzypisukocowego">
    <w:name w:val="endnote reference"/>
    <w:basedOn w:val="Domylnaczcionkaakapitu"/>
    <w:rsid w:val="003F3291"/>
    <w:rPr>
      <w:vertAlign w:val="superscript"/>
    </w:rPr>
  </w:style>
  <w:style w:type="character" w:customStyle="1" w:styleId="Nagwek4Znak">
    <w:name w:val="Nagłówek 4 Znak"/>
    <w:basedOn w:val="Domylnaczcionkaakapitu"/>
    <w:link w:val="Nagwek4"/>
    <w:rsid w:val="004A2289"/>
    <w:rPr>
      <w:rFonts w:ascii="Calibri" w:hAnsi="Calibri"/>
      <w:color w:val="000000"/>
      <w:sz w:val="22"/>
    </w:rPr>
  </w:style>
  <w:style w:type="character" w:styleId="Uwydatnienie">
    <w:name w:val="Emphasis"/>
    <w:basedOn w:val="Domylnaczcionkaakapitu"/>
    <w:qFormat/>
    <w:rsid w:val="00654B8E"/>
    <w:rPr>
      <w:i/>
      <w:iCs/>
    </w:rPr>
  </w:style>
  <w:style w:type="character" w:customStyle="1" w:styleId="FontStyle117">
    <w:name w:val="Font Style117"/>
    <w:basedOn w:val="Domylnaczcionkaakapitu"/>
    <w:rsid w:val="00F434E8"/>
    <w:rPr>
      <w:rFonts w:ascii="Arial" w:hAnsi="Arial" w:cs="Arial"/>
      <w:sz w:val="16"/>
      <w:szCs w:val="16"/>
    </w:rPr>
  </w:style>
  <w:style w:type="character" w:customStyle="1" w:styleId="FontStyle69">
    <w:name w:val="Font Style69"/>
    <w:basedOn w:val="Domylnaczcionkaakapitu"/>
    <w:rsid w:val="00F434E8"/>
    <w:rPr>
      <w:rFonts w:ascii="Arial" w:hAnsi="Arial" w:cs="Arial"/>
      <w:sz w:val="22"/>
      <w:szCs w:val="22"/>
    </w:rPr>
  </w:style>
  <w:style w:type="paragraph" w:customStyle="1" w:styleId="Style11">
    <w:name w:val="Style11"/>
    <w:basedOn w:val="Normalny"/>
    <w:rsid w:val="00F434E8"/>
    <w:pPr>
      <w:widowControl w:val="0"/>
      <w:autoSpaceDE w:val="0"/>
      <w:autoSpaceDN w:val="0"/>
      <w:adjustRightInd w:val="0"/>
      <w:spacing w:before="0" w:after="0"/>
      <w:ind w:left="0" w:firstLine="0"/>
      <w:jc w:val="left"/>
    </w:pPr>
    <w:rPr>
      <w:rFonts w:ascii="Arial" w:hAnsi="Arial" w:cs="Arial"/>
      <w:sz w:val="24"/>
      <w:szCs w:val="24"/>
    </w:rPr>
  </w:style>
  <w:style w:type="paragraph" w:customStyle="1" w:styleId="uitnumer">
    <w:name w:val="uit numer."/>
    <w:basedOn w:val="Normalny"/>
    <w:autoRedefine/>
    <w:rsid w:val="00933A2F"/>
    <w:pPr>
      <w:spacing w:before="60" w:after="60"/>
      <w:ind w:left="567" w:firstLine="0"/>
    </w:pPr>
    <w:rPr>
      <w:rFonts w:ascii="Arial" w:hAnsi="Arial" w:cs="Arial"/>
      <w:sz w:val="22"/>
      <w:szCs w:val="22"/>
    </w:rPr>
  </w:style>
  <w:style w:type="table" w:styleId="Tabela-Siatka">
    <w:name w:val="Table Grid"/>
    <w:basedOn w:val="Standardowy"/>
    <w:rsid w:val="00933A2F"/>
    <w:pPr>
      <w:spacing w:before="0" w:after="0" w:line="360"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owanie">
    <w:name w:val="Punktowanie"/>
    <w:basedOn w:val="Normalny"/>
    <w:qFormat/>
    <w:rsid w:val="00D42F22"/>
    <w:pPr>
      <w:keepNext/>
      <w:numPr>
        <w:numId w:val="6"/>
      </w:numPr>
      <w:spacing w:before="0" w:after="0"/>
      <w:ind w:left="1071" w:hanging="357"/>
      <w:outlineLvl w:val="0"/>
    </w:pPr>
    <w:rPr>
      <w:rFonts w:ascii="Arial" w:hAnsi="Arial"/>
      <w:kern w:val="32"/>
      <w:sz w:val="22"/>
      <w:szCs w:val="32"/>
    </w:rPr>
  </w:style>
  <w:style w:type="paragraph" w:customStyle="1" w:styleId="Styl1">
    <w:name w:val="Styl1"/>
    <w:basedOn w:val="Nagwek4"/>
    <w:link w:val="Styl1Znak"/>
    <w:qFormat/>
    <w:rsid w:val="000F3019"/>
    <w:pPr>
      <w:numPr>
        <w:numId w:val="0"/>
      </w:numPr>
      <w:ind w:left="720" w:hanging="360"/>
    </w:pPr>
  </w:style>
  <w:style w:type="character" w:customStyle="1" w:styleId="Styl1Znak">
    <w:name w:val="Styl1 Znak"/>
    <w:basedOn w:val="Nagwek4Znak"/>
    <w:link w:val="Styl1"/>
    <w:uiPriority w:val="99"/>
    <w:rsid w:val="000F3019"/>
    <w:rPr>
      <w:rFonts w:ascii="Calibri" w:hAnsi="Calibri"/>
      <w:color w:val="000000"/>
      <w:sz w:val="22"/>
    </w:rPr>
  </w:style>
  <w:style w:type="character" w:customStyle="1" w:styleId="Nagwek2Znak">
    <w:name w:val="Nagłówek 2 Znak"/>
    <w:basedOn w:val="Domylnaczcionkaakapitu"/>
    <w:link w:val="Nagwek2"/>
    <w:uiPriority w:val="99"/>
    <w:locked/>
    <w:rsid w:val="0081766F"/>
    <w:rPr>
      <w:rFonts w:ascii="Calibri" w:hAnsi="Calibri"/>
      <w:b/>
      <w:color w:val="000000"/>
      <w:sz w:val="22"/>
    </w:rPr>
  </w:style>
  <w:style w:type="paragraph" w:styleId="Tytu">
    <w:name w:val="Title"/>
    <w:basedOn w:val="Normalny"/>
    <w:link w:val="TytuZnak"/>
    <w:qFormat/>
    <w:rsid w:val="00C37261"/>
    <w:pPr>
      <w:autoSpaceDE w:val="0"/>
      <w:autoSpaceDN w:val="0"/>
      <w:spacing w:before="0" w:after="0"/>
      <w:ind w:left="0" w:firstLine="0"/>
      <w:jc w:val="center"/>
    </w:pPr>
    <w:rPr>
      <w:b/>
      <w:bCs/>
      <w:sz w:val="40"/>
      <w:szCs w:val="40"/>
      <w:lang w:val="x-none" w:eastAsia="x-none"/>
    </w:rPr>
  </w:style>
  <w:style w:type="character" w:customStyle="1" w:styleId="TytuZnak">
    <w:name w:val="Tytuł Znak"/>
    <w:basedOn w:val="Domylnaczcionkaakapitu"/>
    <w:link w:val="Tytu"/>
    <w:rsid w:val="00C37261"/>
    <w:rPr>
      <w:b/>
      <w:bCs/>
      <w:sz w:val="40"/>
      <w:szCs w:val="40"/>
      <w:lang w:val="x-none" w:eastAsia="x-none"/>
    </w:rPr>
  </w:style>
  <w:style w:type="character" w:styleId="Numerwiersza">
    <w:name w:val="line number"/>
    <w:basedOn w:val="Domylnaczcionkaakapitu"/>
    <w:rsid w:val="0038256C"/>
  </w:style>
  <w:style w:type="paragraph" w:styleId="Zwykytekst">
    <w:name w:val="Plain Text"/>
    <w:basedOn w:val="Normalny"/>
    <w:link w:val="ZwykytekstZnak"/>
    <w:uiPriority w:val="99"/>
    <w:unhideWhenUsed/>
    <w:rsid w:val="006F3360"/>
    <w:pPr>
      <w:spacing w:before="0" w:after="0"/>
      <w:ind w:left="0" w:firstLine="0"/>
      <w:jc w:val="left"/>
    </w:pPr>
    <w:rPr>
      <w:rFonts w:ascii="Calibri" w:eastAsiaTheme="minorHAnsi" w:hAnsi="Calibri" w:cstheme="minorBidi"/>
      <w:sz w:val="22"/>
      <w:szCs w:val="21"/>
      <w:lang w:eastAsia="en-US"/>
    </w:rPr>
  </w:style>
  <w:style w:type="character" w:customStyle="1" w:styleId="ZwykytekstZnak">
    <w:name w:val="Zwykły tekst Znak"/>
    <w:basedOn w:val="Domylnaczcionkaakapitu"/>
    <w:link w:val="Zwykytekst"/>
    <w:uiPriority w:val="99"/>
    <w:rsid w:val="006F3360"/>
    <w:rPr>
      <w:rFonts w:ascii="Calibri" w:eastAsiaTheme="minorHAnsi" w:hAnsi="Calibri" w:cstheme="minorBidi"/>
      <w:sz w:val="22"/>
      <w:szCs w:val="21"/>
      <w:lang w:eastAsia="en-US"/>
    </w:rPr>
  </w:style>
  <w:style w:type="paragraph" w:customStyle="1" w:styleId="Styl2">
    <w:name w:val="Styl2"/>
    <w:basedOn w:val="Styl1"/>
    <w:link w:val="Styl2Znak"/>
    <w:qFormat/>
    <w:rsid w:val="004E66B2"/>
    <w:pPr>
      <w:keepNext/>
      <w:widowControl/>
      <w:tabs>
        <w:tab w:val="num" w:pos="792"/>
      </w:tabs>
      <w:spacing w:before="200" w:after="200" w:line="276" w:lineRule="auto"/>
      <w:ind w:left="1283" w:hanging="432"/>
      <w:outlineLvl w:val="0"/>
    </w:pPr>
    <w:rPr>
      <w:b/>
      <w:color w:val="auto"/>
      <w:szCs w:val="22"/>
      <w:lang w:val="x-none" w:eastAsia="x-none"/>
    </w:rPr>
  </w:style>
  <w:style w:type="paragraph" w:customStyle="1" w:styleId="Styl6">
    <w:name w:val="Styl6"/>
    <w:basedOn w:val="Styl2"/>
    <w:link w:val="Styl6Znak"/>
    <w:qFormat/>
    <w:rsid w:val="004E66B2"/>
    <w:pPr>
      <w:tabs>
        <w:tab w:val="clear" w:pos="792"/>
      </w:tabs>
    </w:pPr>
    <w:rPr>
      <w:b w:val="0"/>
    </w:rPr>
  </w:style>
  <w:style w:type="character" w:customStyle="1" w:styleId="Styl6Znak">
    <w:name w:val="Styl6 Znak"/>
    <w:link w:val="Styl6"/>
    <w:rsid w:val="004E66B2"/>
    <w:rPr>
      <w:rFonts w:ascii="Calibri" w:hAnsi="Calibri"/>
      <w:sz w:val="22"/>
      <w:szCs w:val="22"/>
      <w:lang w:val="x-none" w:eastAsia="x-none"/>
    </w:rPr>
  </w:style>
  <w:style w:type="paragraph" w:customStyle="1" w:styleId="Styl8">
    <w:name w:val="Styl8"/>
    <w:basedOn w:val="Normalny"/>
    <w:link w:val="Styl8Znak"/>
    <w:qFormat/>
    <w:rsid w:val="00C825B2"/>
    <w:pPr>
      <w:widowControl w:val="0"/>
      <w:numPr>
        <w:numId w:val="8"/>
      </w:numPr>
      <w:outlineLvl w:val="3"/>
    </w:pPr>
    <w:rPr>
      <w:rFonts w:ascii="Calibri" w:hAnsi="Calibri"/>
      <w:color w:val="000000"/>
      <w:sz w:val="22"/>
      <w:lang w:val="x-none" w:eastAsia="x-none"/>
    </w:rPr>
  </w:style>
  <w:style w:type="character" w:customStyle="1" w:styleId="Styl8Znak">
    <w:name w:val="Styl8 Znak"/>
    <w:link w:val="Styl8"/>
    <w:rsid w:val="00C825B2"/>
    <w:rPr>
      <w:rFonts w:ascii="Calibri" w:hAnsi="Calibri"/>
      <w:color w:val="000000"/>
      <w:sz w:val="22"/>
      <w:lang w:val="x-none" w:eastAsia="x-none"/>
    </w:rPr>
  </w:style>
  <w:style w:type="paragraph" w:customStyle="1" w:styleId="Styl3">
    <w:name w:val="Styl3"/>
    <w:basedOn w:val="Nagwek4"/>
    <w:link w:val="Styl3Znak"/>
    <w:qFormat/>
    <w:rsid w:val="00A31859"/>
    <w:pPr>
      <w:numPr>
        <w:numId w:val="0"/>
      </w:numPr>
    </w:pPr>
    <w:rPr>
      <w:lang w:val="x-none" w:eastAsia="x-none"/>
    </w:rPr>
  </w:style>
  <w:style w:type="character" w:customStyle="1" w:styleId="Styl3Znak">
    <w:name w:val="Styl3 Znak"/>
    <w:link w:val="Styl3"/>
    <w:locked/>
    <w:rsid w:val="00A31859"/>
    <w:rPr>
      <w:rFonts w:ascii="Calibri" w:hAnsi="Calibri"/>
      <w:color w:val="000000"/>
      <w:sz w:val="22"/>
      <w:lang w:val="x-none" w:eastAsia="x-none"/>
    </w:rPr>
  </w:style>
  <w:style w:type="paragraph" w:customStyle="1" w:styleId="Styl7">
    <w:name w:val="Styl7"/>
    <w:basedOn w:val="Styl3"/>
    <w:link w:val="Styl7Znak"/>
    <w:qFormat/>
    <w:rsid w:val="009B08A5"/>
  </w:style>
  <w:style w:type="character" w:customStyle="1" w:styleId="Styl7Znak">
    <w:name w:val="Styl7 Znak"/>
    <w:link w:val="Styl7"/>
    <w:rsid w:val="009B08A5"/>
    <w:rPr>
      <w:rFonts w:ascii="Calibri" w:hAnsi="Calibri"/>
      <w:color w:val="000000"/>
      <w:sz w:val="22"/>
      <w:lang w:val="x-none" w:eastAsia="x-none"/>
    </w:rPr>
  </w:style>
  <w:style w:type="character" w:customStyle="1" w:styleId="AkapitzlistZnak">
    <w:name w:val="Akapit z listą Znak"/>
    <w:aliases w:val="Nag 1 Znak,Tytuł_procedury Znak"/>
    <w:link w:val="Akapitzlist"/>
    <w:uiPriority w:val="34"/>
    <w:locked/>
    <w:rsid w:val="007E3B1C"/>
  </w:style>
  <w:style w:type="paragraph" w:customStyle="1" w:styleId="Zanag2">
    <w:name w:val="Zał nagł2"/>
    <w:basedOn w:val="Normalny"/>
    <w:qFormat/>
    <w:rsid w:val="00054FC3"/>
    <w:pPr>
      <w:keepNext/>
      <w:keepLines/>
      <w:shd w:val="clear" w:color="auto" w:fill="A6A6A6"/>
      <w:spacing w:before="0" w:after="0"/>
      <w:ind w:left="0" w:firstLine="0"/>
      <w:contextualSpacing/>
      <w:jc w:val="center"/>
    </w:pPr>
    <w:rPr>
      <w:rFonts w:ascii="Arial" w:eastAsia="Calibri" w:hAnsi="Arial" w:cs="Arial"/>
      <w:b/>
      <w:caps/>
      <w:sz w:val="28"/>
      <w:szCs w:val="24"/>
    </w:rPr>
  </w:style>
  <w:style w:type="character" w:customStyle="1" w:styleId="apple-converted-space">
    <w:name w:val="apple-converted-space"/>
    <w:rsid w:val="00897F0A"/>
  </w:style>
  <w:style w:type="character" w:customStyle="1" w:styleId="Styl2Znak">
    <w:name w:val="Styl2 Znak"/>
    <w:link w:val="Styl2"/>
    <w:rsid w:val="00BA353B"/>
    <w:rPr>
      <w:rFonts w:ascii="Calibri" w:hAnsi="Calibri"/>
      <w:b/>
      <w:sz w:val="22"/>
      <w:szCs w:val="22"/>
      <w:lang w:val="x-none" w:eastAsia="x-none"/>
    </w:rPr>
  </w:style>
  <w:style w:type="paragraph" w:customStyle="1" w:styleId="unicomtabelka">
    <w:name w:val="unicom_tabelka"/>
    <w:basedOn w:val="Normalny"/>
    <w:rsid w:val="007A1BD7"/>
    <w:pPr>
      <w:spacing w:before="0" w:after="0" w:line="360" w:lineRule="auto"/>
      <w:ind w:left="0" w:firstLine="0"/>
    </w:pPr>
    <w:rPr>
      <w:rFonts w:ascii="Verdana" w:hAnsi="Verdana"/>
      <w:sz w:val="18"/>
      <w:szCs w:val="24"/>
      <w:lang w:eastAsia="en-US"/>
    </w:rPr>
  </w:style>
  <w:style w:type="paragraph" w:customStyle="1" w:styleId="IIVnumerowanie">
    <w:name w:val="IIV numerowanie"/>
    <w:basedOn w:val="Normalny"/>
    <w:qFormat/>
    <w:rsid w:val="00ED5721"/>
    <w:pPr>
      <w:widowControl w:val="0"/>
      <w:numPr>
        <w:ilvl w:val="2"/>
        <w:numId w:val="17"/>
      </w:numPr>
      <w:adjustRightInd w:val="0"/>
      <w:snapToGrid w:val="0"/>
      <w:contextualSpacing/>
    </w:pPr>
    <w:rPr>
      <w:rFonts w:ascii="Arial" w:eastAsia="SimSun" w:hAnsi="Arial"/>
      <w:color w:val="000000"/>
      <w:kern w:val="24"/>
      <w:sz w:val="22"/>
    </w:rPr>
  </w:style>
  <w:style w:type="paragraph" w:styleId="Listapunktowana2">
    <w:name w:val="List Bullet 2"/>
    <w:basedOn w:val="Normalny"/>
    <w:autoRedefine/>
    <w:semiHidden/>
    <w:rsid w:val="00507C1E"/>
    <w:pPr>
      <w:widowControl w:val="0"/>
      <w:numPr>
        <w:numId w:val="19"/>
      </w:numPr>
      <w:autoSpaceDE w:val="0"/>
      <w:autoSpaceDN w:val="0"/>
      <w:adjustRightInd w:val="0"/>
      <w:spacing w:before="0" w:after="0"/>
      <w:jc w:val="left"/>
    </w:pPr>
    <w:rPr>
      <w:rFonts w:ascii="Arial" w:hAnsi="Arial" w:cs="Arial"/>
    </w:rPr>
  </w:style>
  <w:style w:type="paragraph" w:styleId="Poprawka">
    <w:name w:val="Revision"/>
    <w:hidden/>
    <w:uiPriority w:val="99"/>
    <w:semiHidden/>
    <w:rsid w:val="00B7146C"/>
    <w:pPr>
      <w:spacing w:before="0" w:after="0"/>
      <w:ind w:left="0" w:firstLine="0"/>
      <w:jc w:val="left"/>
    </w:pPr>
  </w:style>
  <w:style w:type="character" w:customStyle="1" w:styleId="FontStyle23">
    <w:name w:val="Font Style23"/>
    <w:basedOn w:val="Domylnaczcionkaakapitu"/>
    <w:uiPriority w:val="99"/>
    <w:rsid w:val="00941EC8"/>
    <w:rPr>
      <w:rFonts w:ascii="Times New Roman" w:hAnsi="Times New Roman" w:cs="Times New Roman"/>
      <w:b/>
      <w:bCs/>
      <w:sz w:val="22"/>
      <w:szCs w:val="22"/>
    </w:rPr>
  </w:style>
  <w:style w:type="character" w:customStyle="1" w:styleId="FontStyle26">
    <w:name w:val="Font Style26"/>
    <w:basedOn w:val="Domylnaczcionkaakapitu"/>
    <w:uiPriority w:val="99"/>
    <w:rsid w:val="00941EC8"/>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0456">
      <w:bodyDiv w:val="1"/>
      <w:marLeft w:val="0"/>
      <w:marRight w:val="0"/>
      <w:marTop w:val="0"/>
      <w:marBottom w:val="0"/>
      <w:divBdr>
        <w:top w:val="none" w:sz="0" w:space="0" w:color="auto"/>
        <w:left w:val="none" w:sz="0" w:space="0" w:color="auto"/>
        <w:bottom w:val="none" w:sz="0" w:space="0" w:color="auto"/>
        <w:right w:val="none" w:sz="0" w:space="0" w:color="auto"/>
      </w:divBdr>
    </w:div>
    <w:div w:id="161120053">
      <w:bodyDiv w:val="1"/>
      <w:marLeft w:val="0"/>
      <w:marRight w:val="0"/>
      <w:marTop w:val="0"/>
      <w:marBottom w:val="0"/>
      <w:divBdr>
        <w:top w:val="none" w:sz="0" w:space="0" w:color="auto"/>
        <w:left w:val="none" w:sz="0" w:space="0" w:color="auto"/>
        <w:bottom w:val="none" w:sz="0" w:space="0" w:color="auto"/>
        <w:right w:val="none" w:sz="0" w:space="0" w:color="auto"/>
      </w:divBdr>
    </w:div>
    <w:div w:id="200091623">
      <w:bodyDiv w:val="1"/>
      <w:marLeft w:val="0"/>
      <w:marRight w:val="0"/>
      <w:marTop w:val="0"/>
      <w:marBottom w:val="0"/>
      <w:divBdr>
        <w:top w:val="none" w:sz="0" w:space="0" w:color="auto"/>
        <w:left w:val="none" w:sz="0" w:space="0" w:color="auto"/>
        <w:bottom w:val="none" w:sz="0" w:space="0" w:color="auto"/>
        <w:right w:val="none" w:sz="0" w:space="0" w:color="auto"/>
      </w:divBdr>
    </w:div>
    <w:div w:id="287473413">
      <w:bodyDiv w:val="1"/>
      <w:marLeft w:val="0"/>
      <w:marRight w:val="0"/>
      <w:marTop w:val="0"/>
      <w:marBottom w:val="0"/>
      <w:divBdr>
        <w:top w:val="none" w:sz="0" w:space="0" w:color="auto"/>
        <w:left w:val="none" w:sz="0" w:space="0" w:color="auto"/>
        <w:bottom w:val="none" w:sz="0" w:space="0" w:color="auto"/>
        <w:right w:val="none" w:sz="0" w:space="0" w:color="auto"/>
      </w:divBdr>
    </w:div>
    <w:div w:id="417824705">
      <w:bodyDiv w:val="1"/>
      <w:marLeft w:val="0"/>
      <w:marRight w:val="0"/>
      <w:marTop w:val="0"/>
      <w:marBottom w:val="0"/>
      <w:divBdr>
        <w:top w:val="none" w:sz="0" w:space="0" w:color="auto"/>
        <w:left w:val="none" w:sz="0" w:space="0" w:color="auto"/>
        <w:bottom w:val="none" w:sz="0" w:space="0" w:color="auto"/>
        <w:right w:val="none" w:sz="0" w:space="0" w:color="auto"/>
      </w:divBdr>
    </w:div>
    <w:div w:id="510684658">
      <w:bodyDiv w:val="1"/>
      <w:marLeft w:val="0"/>
      <w:marRight w:val="0"/>
      <w:marTop w:val="0"/>
      <w:marBottom w:val="0"/>
      <w:divBdr>
        <w:top w:val="none" w:sz="0" w:space="0" w:color="auto"/>
        <w:left w:val="none" w:sz="0" w:space="0" w:color="auto"/>
        <w:bottom w:val="none" w:sz="0" w:space="0" w:color="auto"/>
        <w:right w:val="none" w:sz="0" w:space="0" w:color="auto"/>
      </w:divBdr>
    </w:div>
    <w:div w:id="615406604">
      <w:bodyDiv w:val="1"/>
      <w:marLeft w:val="0"/>
      <w:marRight w:val="0"/>
      <w:marTop w:val="0"/>
      <w:marBottom w:val="0"/>
      <w:divBdr>
        <w:top w:val="none" w:sz="0" w:space="0" w:color="auto"/>
        <w:left w:val="none" w:sz="0" w:space="0" w:color="auto"/>
        <w:bottom w:val="none" w:sz="0" w:space="0" w:color="auto"/>
        <w:right w:val="none" w:sz="0" w:space="0" w:color="auto"/>
      </w:divBdr>
    </w:div>
    <w:div w:id="775443679">
      <w:bodyDiv w:val="1"/>
      <w:marLeft w:val="0"/>
      <w:marRight w:val="0"/>
      <w:marTop w:val="0"/>
      <w:marBottom w:val="0"/>
      <w:divBdr>
        <w:top w:val="none" w:sz="0" w:space="0" w:color="auto"/>
        <w:left w:val="none" w:sz="0" w:space="0" w:color="auto"/>
        <w:bottom w:val="none" w:sz="0" w:space="0" w:color="auto"/>
        <w:right w:val="none" w:sz="0" w:space="0" w:color="auto"/>
      </w:divBdr>
    </w:div>
    <w:div w:id="824778542">
      <w:bodyDiv w:val="1"/>
      <w:marLeft w:val="0"/>
      <w:marRight w:val="0"/>
      <w:marTop w:val="0"/>
      <w:marBottom w:val="0"/>
      <w:divBdr>
        <w:top w:val="none" w:sz="0" w:space="0" w:color="auto"/>
        <w:left w:val="none" w:sz="0" w:space="0" w:color="auto"/>
        <w:bottom w:val="none" w:sz="0" w:space="0" w:color="auto"/>
        <w:right w:val="none" w:sz="0" w:space="0" w:color="auto"/>
      </w:divBdr>
    </w:div>
    <w:div w:id="1049181870">
      <w:bodyDiv w:val="1"/>
      <w:marLeft w:val="0"/>
      <w:marRight w:val="0"/>
      <w:marTop w:val="0"/>
      <w:marBottom w:val="0"/>
      <w:divBdr>
        <w:top w:val="none" w:sz="0" w:space="0" w:color="auto"/>
        <w:left w:val="none" w:sz="0" w:space="0" w:color="auto"/>
        <w:bottom w:val="none" w:sz="0" w:space="0" w:color="auto"/>
        <w:right w:val="none" w:sz="0" w:space="0" w:color="auto"/>
      </w:divBdr>
    </w:div>
    <w:div w:id="1084883610">
      <w:bodyDiv w:val="1"/>
      <w:marLeft w:val="0"/>
      <w:marRight w:val="0"/>
      <w:marTop w:val="0"/>
      <w:marBottom w:val="0"/>
      <w:divBdr>
        <w:top w:val="none" w:sz="0" w:space="0" w:color="auto"/>
        <w:left w:val="none" w:sz="0" w:space="0" w:color="auto"/>
        <w:bottom w:val="none" w:sz="0" w:space="0" w:color="auto"/>
        <w:right w:val="none" w:sz="0" w:space="0" w:color="auto"/>
      </w:divBdr>
    </w:div>
    <w:div w:id="1126199645">
      <w:bodyDiv w:val="1"/>
      <w:marLeft w:val="0"/>
      <w:marRight w:val="0"/>
      <w:marTop w:val="0"/>
      <w:marBottom w:val="0"/>
      <w:divBdr>
        <w:top w:val="none" w:sz="0" w:space="0" w:color="auto"/>
        <w:left w:val="none" w:sz="0" w:space="0" w:color="auto"/>
        <w:bottom w:val="none" w:sz="0" w:space="0" w:color="auto"/>
        <w:right w:val="none" w:sz="0" w:space="0" w:color="auto"/>
      </w:divBdr>
    </w:div>
    <w:div w:id="1164665118">
      <w:bodyDiv w:val="1"/>
      <w:marLeft w:val="0"/>
      <w:marRight w:val="0"/>
      <w:marTop w:val="0"/>
      <w:marBottom w:val="0"/>
      <w:divBdr>
        <w:top w:val="none" w:sz="0" w:space="0" w:color="auto"/>
        <w:left w:val="none" w:sz="0" w:space="0" w:color="auto"/>
        <w:bottom w:val="none" w:sz="0" w:space="0" w:color="auto"/>
        <w:right w:val="none" w:sz="0" w:space="0" w:color="auto"/>
      </w:divBdr>
    </w:div>
    <w:div w:id="1216818636">
      <w:bodyDiv w:val="1"/>
      <w:marLeft w:val="0"/>
      <w:marRight w:val="0"/>
      <w:marTop w:val="0"/>
      <w:marBottom w:val="0"/>
      <w:divBdr>
        <w:top w:val="none" w:sz="0" w:space="0" w:color="auto"/>
        <w:left w:val="none" w:sz="0" w:space="0" w:color="auto"/>
        <w:bottom w:val="none" w:sz="0" w:space="0" w:color="auto"/>
        <w:right w:val="none" w:sz="0" w:space="0" w:color="auto"/>
      </w:divBdr>
    </w:div>
    <w:div w:id="1223908583">
      <w:bodyDiv w:val="1"/>
      <w:marLeft w:val="0"/>
      <w:marRight w:val="0"/>
      <w:marTop w:val="0"/>
      <w:marBottom w:val="0"/>
      <w:divBdr>
        <w:top w:val="none" w:sz="0" w:space="0" w:color="auto"/>
        <w:left w:val="none" w:sz="0" w:space="0" w:color="auto"/>
        <w:bottom w:val="none" w:sz="0" w:space="0" w:color="auto"/>
        <w:right w:val="none" w:sz="0" w:space="0" w:color="auto"/>
      </w:divBdr>
    </w:div>
    <w:div w:id="1271545888">
      <w:bodyDiv w:val="1"/>
      <w:marLeft w:val="0"/>
      <w:marRight w:val="0"/>
      <w:marTop w:val="0"/>
      <w:marBottom w:val="0"/>
      <w:divBdr>
        <w:top w:val="none" w:sz="0" w:space="0" w:color="auto"/>
        <w:left w:val="none" w:sz="0" w:space="0" w:color="auto"/>
        <w:bottom w:val="none" w:sz="0" w:space="0" w:color="auto"/>
        <w:right w:val="none" w:sz="0" w:space="0" w:color="auto"/>
      </w:divBdr>
    </w:div>
    <w:div w:id="1405758690">
      <w:bodyDiv w:val="1"/>
      <w:marLeft w:val="0"/>
      <w:marRight w:val="0"/>
      <w:marTop w:val="0"/>
      <w:marBottom w:val="0"/>
      <w:divBdr>
        <w:top w:val="none" w:sz="0" w:space="0" w:color="auto"/>
        <w:left w:val="none" w:sz="0" w:space="0" w:color="auto"/>
        <w:bottom w:val="none" w:sz="0" w:space="0" w:color="auto"/>
        <w:right w:val="none" w:sz="0" w:space="0" w:color="auto"/>
      </w:divBdr>
    </w:div>
    <w:div w:id="1411924536">
      <w:bodyDiv w:val="1"/>
      <w:marLeft w:val="0"/>
      <w:marRight w:val="0"/>
      <w:marTop w:val="0"/>
      <w:marBottom w:val="0"/>
      <w:divBdr>
        <w:top w:val="none" w:sz="0" w:space="0" w:color="auto"/>
        <w:left w:val="none" w:sz="0" w:space="0" w:color="auto"/>
        <w:bottom w:val="none" w:sz="0" w:space="0" w:color="auto"/>
        <w:right w:val="none" w:sz="0" w:space="0" w:color="auto"/>
      </w:divBdr>
    </w:div>
    <w:div w:id="1439057188">
      <w:bodyDiv w:val="1"/>
      <w:marLeft w:val="0"/>
      <w:marRight w:val="0"/>
      <w:marTop w:val="0"/>
      <w:marBottom w:val="0"/>
      <w:divBdr>
        <w:top w:val="none" w:sz="0" w:space="0" w:color="auto"/>
        <w:left w:val="none" w:sz="0" w:space="0" w:color="auto"/>
        <w:bottom w:val="none" w:sz="0" w:space="0" w:color="auto"/>
        <w:right w:val="none" w:sz="0" w:space="0" w:color="auto"/>
      </w:divBdr>
    </w:div>
    <w:div w:id="1449352946">
      <w:bodyDiv w:val="1"/>
      <w:marLeft w:val="0"/>
      <w:marRight w:val="0"/>
      <w:marTop w:val="0"/>
      <w:marBottom w:val="0"/>
      <w:divBdr>
        <w:top w:val="none" w:sz="0" w:space="0" w:color="auto"/>
        <w:left w:val="none" w:sz="0" w:space="0" w:color="auto"/>
        <w:bottom w:val="none" w:sz="0" w:space="0" w:color="auto"/>
        <w:right w:val="none" w:sz="0" w:space="0" w:color="auto"/>
      </w:divBdr>
    </w:div>
    <w:div w:id="1561331223">
      <w:bodyDiv w:val="1"/>
      <w:marLeft w:val="0"/>
      <w:marRight w:val="0"/>
      <w:marTop w:val="0"/>
      <w:marBottom w:val="0"/>
      <w:divBdr>
        <w:top w:val="none" w:sz="0" w:space="0" w:color="auto"/>
        <w:left w:val="none" w:sz="0" w:space="0" w:color="auto"/>
        <w:bottom w:val="none" w:sz="0" w:space="0" w:color="auto"/>
        <w:right w:val="none" w:sz="0" w:space="0" w:color="auto"/>
      </w:divBdr>
    </w:div>
    <w:div w:id="1592155283">
      <w:bodyDiv w:val="1"/>
      <w:marLeft w:val="0"/>
      <w:marRight w:val="0"/>
      <w:marTop w:val="0"/>
      <w:marBottom w:val="0"/>
      <w:divBdr>
        <w:top w:val="none" w:sz="0" w:space="0" w:color="auto"/>
        <w:left w:val="none" w:sz="0" w:space="0" w:color="auto"/>
        <w:bottom w:val="none" w:sz="0" w:space="0" w:color="auto"/>
        <w:right w:val="none" w:sz="0" w:space="0" w:color="auto"/>
      </w:divBdr>
    </w:div>
    <w:div w:id="1615284411">
      <w:bodyDiv w:val="1"/>
      <w:marLeft w:val="0"/>
      <w:marRight w:val="0"/>
      <w:marTop w:val="0"/>
      <w:marBottom w:val="0"/>
      <w:divBdr>
        <w:top w:val="none" w:sz="0" w:space="0" w:color="auto"/>
        <w:left w:val="none" w:sz="0" w:space="0" w:color="auto"/>
        <w:bottom w:val="none" w:sz="0" w:space="0" w:color="auto"/>
        <w:right w:val="none" w:sz="0" w:space="0" w:color="auto"/>
      </w:divBdr>
    </w:div>
    <w:div w:id="1975207650">
      <w:bodyDiv w:val="1"/>
      <w:marLeft w:val="0"/>
      <w:marRight w:val="0"/>
      <w:marTop w:val="0"/>
      <w:marBottom w:val="0"/>
      <w:divBdr>
        <w:top w:val="none" w:sz="0" w:space="0" w:color="auto"/>
        <w:left w:val="none" w:sz="0" w:space="0" w:color="auto"/>
        <w:bottom w:val="none" w:sz="0" w:space="0" w:color="auto"/>
        <w:right w:val="none" w:sz="0" w:space="0" w:color="auto"/>
      </w:divBdr>
    </w:div>
    <w:div w:id="1975328645">
      <w:bodyDiv w:val="1"/>
      <w:marLeft w:val="0"/>
      <w:marRight w:val="0"/>
      <w:marTop w:val="0"/>
      <w:marBottom w:val="0"/>
      <w:divBdr>
        <w:top w:val="none" w:sz="0" w:space="0" w:color="auto"/>
        <w:left w:val="none" w:sz="0" w:space="0" w:color="auto"/>
        <w:bottom w:val="none" w:sz="0" w:space="0" w:color="auto"/>
        <w:right w:val="none" w:sz="0" w:space="0" w:color="auto"/>
      </w:divBdr>
    </w:div>
    <w:div w:id="1996034099">
      <w:bodyDiv w:val="1"/>
      <w:marLeft w:val="0"/>
      <w:marRight w:val="0"/>
      <w:marTop w:val="0"/>
      <w:marBottom w:val="0"/>
      <w:divBdr>
        <w:top w:val="none" w:sz="0" w:space="0" w:color="auto"/>
        <w:left w:val="none" w:sz="0" w:space="0" w:color="auto"/>
        <w:bottom w:val="none" w:sz="0" w:space="0" w:color="auto"/>
        <w:right w:val="none" w:sz="0" w:space="0" w:color="auto"/>
      </w:divBdr>
    </w:div>
    <w:div w:id="2071266186">
      <w:bodyDiv w:val="1"/>
      <w:marLeft w:val="0"/>
      <w:marRight w:val="0"/>
      <w:marTop w:val="0"/>
      <w:marBottom w:val="0"/>
      <w:divBdr>
        <w:top w:val="none" w:sz="0" w:space="0" w:color="auto"/>
        <w:left w:val="none" w:sz="0" w:space="0" w:color="auto"/>
        <w:bottom w:val="none" w:sz="0" w:space="0" w:color="auto"/>
        <w:right w:val="none" w:sz="0" w:space="0" w:color="auto"/>
      </w:divBdr>
    </w:div>
    <w:div w:id="2088648239">
      <w:bodyDiv w:val="1"/>
      <w:marLeft w:val="0"/>
      <w:marRight w:val="0"/>
      <w:marTop w:val="0"/>
      <w:marBottom w:val="0"/>
      <w:divBdr>
        <w:top w:val="none" w:sz="0" w:space="0" w:color="auto"/>
        <w:left w:val="none" w:sz="0" w:space="0" w:color="auto"/>
        <w:bottom w:val="none" w:sz="0" w:space="0" w:color="auto"/>
        <w:right w:val="none" w:sz="0" w:space="0" w:color="auto"/>
      </w:divBdr>
    </w:div>
    <w:div w:id="2090610784">
      <w:bodyDiv w:val="1"/>
      <w:marLeft w:val="0"/>
      <w:marRight w:val="0"/>
      <w:marTop w:val="0"/>
      <w:marBottom w:val="0"/>
      <w:divBdr>
        <w:top w:val="none" w:sz="0" w:space="0" w:color="auto"/>
        <w:left w:val="none" w:sz="0" w:space="0" w:color="auto"/>
        <w:bottom w:val="none" w:sz="0" w:space="0" w:color="auto"/>
        <w:right w:val="none" w:sz="0" w:space="0" w:color="auto"/>
      </w:divBdr>
    </w:div>
    <w:div w:id="2091923358">
      <w:bodyDiv w:val="1"/>
      <w:marLeft w:val="0"/>
      <w:marRight w:val="0"/>
      <w:marTop w:val="0"/>
      <w:marBottom w:val="0"/>
      <w:divBdr>
        <w:top w:val="none" w:sz="0" w:space="0" w:color="auto"/>
        <w:left w:val="none" w:sz="0" w:space="0" w:color="auto"/>
        <w:bottom w:val="none" w:sz="0" w:space="0" w:color="auto"/>
        <w:right w:val="none" w:sz="0" w:space="0" w:color="auto"/>
      </w:divBdr>
    </w:div>
    <w:div w:id="2100562128">
      <w:bodyDiv w:val="1"/>
      <w:marLeft w:val="0"/>
      <w:marRight w:val="0"/>
      <w:marTop w:val="0"/>
      <w:marBottom w:val="0"/>
      <w:divBdr>
        <w:top w:val="none" w:sz="0" w:space="0" w:color="auto"/>
        <w:left w:val="none" w:sz="0" w:space="0" w:color="auto"/>
        <w:bottom w:val="none" w:sz="0" w:space="0" w:color="auto"/>
        <w:right w:val="none" w:sz="0" w:space="0" w:color="auto"/>
      </w:divBdr>
    </w:div>
    <w:div w:id="2120562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header" Target="header2.xml"/><Relationship Id="rId32" Type="http://schemas.openxmlformats.org/officeDocument/2006/relationships/customXml" Target="../customXml/item7.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s://pgedystrybucja.pl/strefa-klienta/przydatne-dokumenty" TargetMode="External"/><Relationship Id="rId19" Type="http://schemas.openxmlformats.org/officeDocument/2006/relationships/image" Target="media/image9.jpeg"/><Relationship Id="rId31" Type="http://schemas.openxmlformats.org/officeDocument/2006/relationships/customXml" Target="../customXml/item6.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 Id="rId30" Type="http://schemas.openxmlformats.org/officeDocument/2006/relationships/customXml" Target="../customXml/item5.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41B69939475FC44DB2F57C2522B7712E" ma:contentTypeVersion="0" ma:contentTypeDescription="SWPP2 Dokument bazowy" ma:contentTypeScope="" ma:versionID="3ab7c60d19f782d412b41d8511b1a471">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Załącznik nr 1.7 specyfikacja techniczna CPK 110kV ostateczna.docx</dmsv2BaseFileName>
    <dmsv2BaseDisplayName xmlns="http://schemas.microsoft.com/sharepoint/v3">Załącznik nr 1.7 specyfikacja techniczna CPK 110kV ostateczna</dmsv2BaseDisplayName>
    <dmsv2SWPP2ObjectNumber xmlns="http://schemas.microsoft.com/sharepoint/v3">POST/DYS/OLD/GZ/00140/2026                        </dmsv2SWPP2ObjectNumber>
    <dmsv2SWPP2SumMD5 xmlns="http://schemas.microsoft.com/sharepoint/v3">f45fd2977c5c536ed64899a3a4d37d6e</dmsv2SWPP2SumMD5>
    <dmsv2BaseMoved xmlns="http://schemas.microsoft.com/sharepoint/v3">false</dmsv2BaseMoved>
    <dmsv2BaseIsSensitive xmlns="http://schemas.microsoft.com/sharepoint/v3">true</dmsv2BaseIsSensitive>
    <dmsv2SWPP2IDSWPP2 xmlns="http://schemas.microsoft.com/sharepoint/v3">703831</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24299412</dmsv2BaseClientSystemDocumentID>
    <dmsv2BaseModifiedByID xmlns="http://schemas.microsoft.com/sharepoint/v3">11703949</dmsv2BaseModifiedByID>
    <dmsv2BaseCreatedByID xmlns="http://schemas.microsoft.com/sharepoint/v3">11703949</dmsv2BaseCreatedByID>
    <dmsv2SWPP2ObjectDepartment xmlns="http://schemas.microsoft.com/sharepoint/v3">00000001000700020000000n0000</dmsv2SWPP2ObjectDepartment>
    <dmsv2SWPP2ObjectName xmlns="http://schemas.microsoft.com/sharepoint/v3">Postępowanie</dmsv2SWPP2ObjectName>
    <_dlc_DocId xmlns="a19cb1c7-c5c7-46d4-85ae-d83685407bba">PR4UJWENCY6Q-1465504392-1040</_dlc_DocId>
    <_dlc_DocIdUrl xmlns="a19cb1c7-c5c7-46d4-85ae-d83685407bba">
      <Url>https://swpp2.dms.gkpge.pl/sites/42/_layouts/15/DocIdRedir.aspx?ID=PR4UJWENCY6Q-1465504392-1040</Url>
      <Description>PR4UJWENCY6Q-1465504392-1040</Description>
    </_dlc_DocIdUrl>
  </documentManagement>
</p:properties>
</file>

<file path=customXml/itemProps1.xml><?xml version="1.0" encoding="utf-8"?>
<ds:datastoreItem xmlns:ds="http://schemas.openxmlformats.org/officeDocument/2006/customXml" ds:itemID="{C838F1E1-0750-42EF-86B4-4413DBBF5D5F}">
  <ds:schemaRefs>
    <ds:schemaRef ds:uri="http://schemas.openxmlformats.org/officeDocument/2006/bibliography"/>
  </ds:schemaRefs>
</ds:datastoreItem>
</file>

<file path=customXml/itemProps2.xml><?xml version="1.0" encoding="utf-8"?>
<ds:datastoreItem xmlns:ds="http://schemas.openxmlformats.org/officeDocument/2006/customXml" ds:itemID="{3960A496-89A6-41EA-B503-7ABBB22347C0}">
  <ds:schemaRefs>
    <ds:schemaRef ds:uri="http://schemas.openxmlformats.org/officeDocument/2006/bibliography"/>
  </ds:schemaRefs>
</ds:datastoreItem>
</file>

<file path=customXml/itemProps3.xml><?xml version="1.0" encoding="utf-8"?>
<ds:datastoreItem xmlns:ds="http://schemas.openxmlformats.org/officeDocument/2006/customXml" ds:itemID="{9FBAE959-8012-426F-A859-FA399CB4707F}">
  <ds:schemaRefs>
    <ds:schemaRef ds:uri="http://schemas.openxmlformats.org/officeDocument/2006/bibliography"/>
  </ds:schemaRefs>
</ds:datastoreItem>
</file>

<file path=customXml/itemProps4.xml><?xml version="1.0" encoding="utf-8"?>
<ds:datastoreItem xmlns:ds="http://schemas.openxmlformats.org/officeDocument/2006/customXml" ds:itemID="{B1BCE401-4F66-430D-8EE2-BB274D263C6C}"/>
</file>

<file path=customXml/itemProps5.xml><?xml version="1.0" encoding="utf-8"?>
<ds:datastoreItem xmlns:ds="http://schemas.openxmlformats.org/officeDocument/2006/customXml" ds:itemID="{1D2BC93C-1398-4C3A-A7B8-1F68DC42111F}"/>
</file>

<file path=customXml/itemProps6.xml><?xml version="1.0" encoding="utf-8"?>
<ds:datastoreItem xmlns:ds="http://schemas.openxmlformats.org/officeDocument/2006/customXml" ds:itemID="{EA045593-BB93-4D21-B6F7-7400F17DA2D1}"/>
</file>

<file path=customXml/itemProps7.xml><?xml version="1.0" encoding="utf-8"?>
<ds:datastoreItem xmlns:ds="http://schemas.openxmlformats.org/officeDocument/2006/customXml" ds:itemID="{50F60888-C6AA-414D-9F6F-910DCB8FDDBE}"/>
</file>

<file path=docProps/app.xml><?xml version="1.0" encoding="utf-8"?>
<Properties xmlns="http://schemas.openxmlformats.org/officeDocument/2006/extended-properties" xmlns:vt="http://schemas.openxmlformats.org/officeDocument/2006/docPropsVTypes">
  <Template>Normal</Template>
  <TotalTime>83</TotalTime>
  <Pages>45</Pages>
  <Words>12704</Words>
  <Characters>86178</Characters>
  <Application>Microsoft Office Word</Application>
  <DocSecurity>0</DocSecurity>
  <Lines>3917</Lines>
  <Paragraphs>1433</Paragraphs>
  <ScaleCrop>false</ScaleCrop>
  <HeadingPairs>
    <vt:vector size="2" baseType="variant">
      <vt:variant>
        <vt:lpstr>Tytuł</vt:lpstr>
      </vt:variant>
      <vt:variant>
        <vt:i4>1</vt:i4>
      </vt:variant>
    </vt:vector>
  </HeadingPairs>
  <TitlesOfParts>
    <vt:vector size="1" baseType="lpstr">
      <vt:lpstr>Załącznik nr 1 do SIWZ – stacja Lutomiersk</vt:lpstr>
    </vt:vector>
  </TitlesOfParts>
  <Company>Microsoft</Company>
  <LinksUpToDate>false</LinksUpToDate>
  <CharactersWithSpaces>97449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 do SIWZ – stacja Lutomiersk</dc:title>
  <dc:creator>Danuta Adamiak</dc:creator>
  <cp:lastModifiedBy>Płomińska-Gorzkiewicz Katarzyna [PGE Dystr. O.Łódź]</cp:lastModifiedBy>
  <cp:revision>16</cp:revision>
  <cp:lastPrinted>2019-01-22T09:48:00Z</cp:lastPrinted>
  <dcterms:created xsi:type="dcterms:W3CDTF">2025-10-01T05:30:00Z</dcterms:created>
  <dcterms:modified xsi:type="dcterms:W3CDTF">2026-02-02T11:29:00Z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0x010189100041B69939475FC44DB2F57C2522B7712E</vt:lpwstr>
  </property>
  <property fmtid="{D5CDD505-2E9C-101B-9397-08002B2CF9AE}" pid="3" name="_dlc_DocIdItemGuid">
    <vt:lpwstr>0621d260-3397-47a1-9735-9098b1e17510</vt:lpwstr>
  </property>
</Properties>
</file>